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C08D" w14:textId="77777777" w:rsidR="001A44E3" w:rsidRDefault="001A44E3" w:rsidP="00841C46">
      <w:pPr>
        <w:spacing w:line="240" w:lineRule="auto"/>
        <w:jc w:val="both"/>
        <w:rPr>
          <w:rFonts w:ascii="Arial" w:hAnsi="Arial" w:cs="Arial"/>
          <w:b/>
          <w:color w:val="00B0F0"/>
          <w:sz w:val="24"/>
          <w:szCs w:val="20"/>
          <w:lang w:val="es-ES"/>
        </w:rPr>
      </w:pPr>
    </w:p>
    <w:p w14:paraId="5BBD8C01" w14:textId="77777777" w:rsidR="001A44E3" w:rsidRDefault="001A44E3" w:rsidP="00841C46">
      <w:pPr>
        <w:spacing w:line="240" w:lineRule="auto"/>
        <w:jc w:val="both"/>
        <w:rPr>
          <w:rFonts w:ascii="Arial" w:hAnsi="Arial" w:cs="Arial"/>
          <w:b/>
          <w:color w:val="00B0F0"/>
          <w:sz w:val="24"/>
          <w:szCs w:val="20"/>
          <w:lang w:val="es-ES"/>
        </w:rPr>
      </w:pPr>
    </w:p>
    <w:p w14:paraId="11B0F7B4" w14:textId="43A1410D" w:rsidR="00841C46" w:rsidRDefault="00C118E9" w:rsidP="00841C4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>Consejo de Administración de Deutsche Bank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>SA</w:t>
      </w:r>
      <w:r w:rsidR="008A1ABB">
        <w:rPr>
          <w:rFonts w:ascii="Arial" w:hAnsi="Arial" w:cs="Arial"/>
          <w:b/>
          <w:color w:val="00B0F0"/>
          <w:sz w:val="24"/>
          <w:szCs w:val="20"/>
          <w:lang w:val="es-ES"/>
        </w:rPr>
        <w:t>EU</w:t>
      </w:r>
    </w:p>
    <w:p w14:paraId="4D1B7919" w14:textId="77777777" w:rsidR="00C118E9" w:rsidRDefault="00C118E9" w:rsidP="00841C46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LightList-Accent11"/>
        <w:tblW w:w="9220" w:type="dxa"/>
        <w:jc w:val="center"/>
        <w:tblLook w:val="0420" w:firstRow="1" w:lastRow="0" w:firstColumn="0" w:lastColumn="0" w:noHBand="0" w:noVBand="1"/>
      </w:tblPr>
      <w:tblGrid>
        <w:gridCol w:w="4587"/>
        <w:gridCol w:w="1484"/>
        <w:gridCol w:w="3149"/>
      </w:tblGrid>
      <w:tr w:rsidR="00841C46" w:rsidRPr="00A24BBD" w14:paraId="49BFEBCF" w14:textId="77777777" w:rsidTr="00B1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4587" w:type="dxa"/>
            <w:vAlign w:val="center"/>
          </w:tcPr>
          <w:p w14:paraId="3201A394" w14:textId="77777777" w:rsidR="00841C46" w:rsidRPr="00A24BBD" w:rsidRDefault="00841C46" w:rsidP="001E46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Nombre del consejero</w:t>
            </w:r>
          </w:p>
        </w:tc>
        <w:tc>
          <w:tcPr>
            <w:tcW w:w="1484" w:type="dxa"/>
            <w:vAlign w:val="center"/>
          </w:tcPr>
          <w:p w14:paraId="03ED2309" w14:textId="77777777" w:rsidR="00841C46" w:rsidRPr="00A24BBD" w:rsidRDefault="00841C46" w:rsidP="00C118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Categoría de consejero</w:t>
            </w:r>
          </w:p>
        </w:tc>
        <w:tc>
          <w:tcPr>
            <w:tcW w:w="3149" w:type="dxa"/>
            <w:vAlign w:val="center"/>
          </w:tcPr>
          <w:p w14:paraId="3B65C193" w14:textId="77777777" w:rsidR="00841C46" w:rsidRPr="00A24BBD" w:rsidRDefault="00841C46" w:rsidP="00C118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Última fecha de nombramiento</w:t>
            </w:r>
          </w:p>
        </w:tc>
      </w:tr>
      <w:tr w:rsidR="00841C46" w:rsidRPr="00A24BBD" w14:paraId="72F76A3B" w14:textId="77777777" w:rsidTr="00B1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bottom"/>
          </w:tcPr>
          <w:p w14:paraId="62C64202" w14:textId="77777777" w:rsidR="00C118E9" w:rsidRPr="001E464C" w:rsidRDefault="00841C46" w:rsidP="00B125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464C">
              <w:rPr>
                <w:rFonts w:ascii="Arial" w:hAnsi="Arial" w:cs="Arial"/>
                <w:sz w:val="20"/>
                <w:szCs w:val="20"/>
                <w:lang w:val="es-ES"/>
              </w:rPr>
              <w:t xml:space="preserve">Antonio Rodríguez-Pina Borges </w:t>
            </w:r>
          </w:p>
          <w:p w14:paraId="6ADF3073" w14:textId="07888EEC" w:rsidR="00841C46" w:rsidRPr="001E464C" w:rsidRDefault="00841C46" w:rsidP="00B125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464C">
              <w:rPr>
                <w:rFonts w:ascii="Arial" w:hAnsi="Arial" w:cs="Arial"/>
                <w:sz w:val="20"/>
                <w:szCs w:val="20"/>
                <w:lang w:val="es-ES"/>
              </w:rPr>
              <w:t>Presidente</w:t>
            </w:r>
          </w:p>
          <w:p w14:paraId="0F5290EF" w14:textId="77777777" w:rsidR="001E464C" w:rsidRPr="001E464C" w:rsidRDefault="001E464C" w:rsidP="00B125A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D8EDCB1" w14:textId="3509474A" w:rsidR="00841C46" w:rsidRPr="00A24BBD" w:rsidRDefault="004006D4" w:rsidP="00C118E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841C46" w:rsidRPr="00A24BBD">
              <w:rPr>
                <w:rFonts w:ascii="Arial" w:hAnsi="Arial" w:cs="Arial"/>
                <w:sz w:val="20"/>
                <w:szCs w:val="20"/>
                <w:lang w:val="es-ES"/>
              </w:rPr>
              <w:t>Ejecutivo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“otro externo”</w:t>
            </w:r>
          </w:p>
        </w:tc>
        <w:tc>
          <w:tcPr>
            <w:tcW w:w="3149" w:type="dxa"/>
          </w:tcPr>
          <w:p w14:paraId="1CB5512A" w14:textId="2AA72331" w:rsidR="00841C46" w:rsidRPr="00A24BBD" w:rsidRDefault="004006D4" w:rsidP="004228E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14/06/2022</w:t>
            </w:r>
          </w:p>
        </w:tc>
      </w:tr>
      <w:tr w:rsidR="00BB7A3C" w:rsidRPr="00A24BBD" w14:paraId="53EC2854" w14:textId="77777777" w:rsidTr="00811FF2">
        <w:trPr>
          <w:jc w:val="center"/>
        </w:trPr>
        <w:tc>
          <w:tcPr>
            <w:tcW w:w="4587" w:type="dxa"/>
          </w:tcPr>
          <w:p w14:paraId="7282FC8D" w14:textId="199608B1" w:rsidR="00BB7A3C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150390">
              <w:rPr>
                <w:rFonts w:ascii="Arial" w:hAnsi="Arial" w:cs="Arial"/>
                <w:sz w:val="20"/>
                <w:szCs w:val="20"/>
                <w:lang w:val="es-ES"/>
              </w:rPr>
              <w:t>gnacio Manuel (Íñigo)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Martos Blázquez</w:t>
            </w:r>
          </w:p>
          <w:p w14:paraId="4DC3BCA2" w14:textId="65E0E05A" w:rsidR="004006D4" w:rsidRDefault="004006D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Consejero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Delegado</w:t>
            </w:r>
            <w:proofErr w:type="gramEnd"/>
          </w:p>
          <w:p w14:paraId="3465A9D2" w14:textId="7DD51491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3B30B1F5" w14:textId="0AE85C2A" w:rsidR="00BB7A3C" w:rsidRDefault="00576AE4" w:rsidP="00C118E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Ejecutivo</w:t>
            </w:r>
          </w:p>
        </w:tc>
        <w:tc>
          <w:tcPr>
            <w:tcW w:w="3149" w:type="dxa"/>
          </w:tcPr>
          <w:p w14:paraId="5627E795" w14:textId="3F6A5EBB" w:rsidR="00BB7A3C" w:rsidRDefault="004006D4" w:rsidP="00C118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19/01/2022</w:t>
            </w:r>
          </w:p>
        </w:tc>
      </w:tr>
      <w:tr w:rsidR="004006D4" w:rsidRPr="00A24BBD" w14:paraId="0CFDB2DB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0B7FCBF8" w14:textId="69D11F14" w:rsidR="004006D4" w:rsidRPr="00150390" w:rsidRDefault="004006D4" w:rsidP="00811FF2">
            <w:pPr>
              <w:rPr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María González-Adalid Guerreiro</w:t>
            </w:r>
          </w:p>
          <w:p w14:paraId="16A224F3" w14:textId="0A9DA022" w:rsidR="0003109A" w:rsidRDefault="0003109A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3109A">
              <w:rPr>
                <w:rFonts w:ascii="Arial" w:hAnsi="Arial" w:cs="Arial"/>
                <w:sz w:val="20"/>
                <w:szCs w:val="20"/>
                <w:lang w:val="es-ES"/>
              </w:rPr>
              <w:t>Director General</w:t>
            </w:r>
          </w:p>
          <w:p w14:paraId="22A87F71" w14:textId="7BC33972" w:rsidR="004006D4" w:rsidRPr="001E464C" w:rsidRDefault="004006D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352DE0F4" w14:textId="3FDA3476" w:rsidR="004006D4" w:rsidRPr="00A24BBD" w:rsidRDefault="004006D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Ejecutivo</w:t>
            </w:r>
          </w:p>
        </w:tc>
        <w:tc>
          <w:tcPr>
            <w:tcW w:w="3149" w:type="dxa"/>
          </w:tcPr>
          <w:p w14:paraId="3C1BAE62" w14:textId="263D5A0A" w:rsidR="004006D4" w:rsidRDefault="004006D4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13/07/2022</w:t>
            </w:r>
          </w:p>
        </w:tc>
      </w:tr>
      <w:tr w:rsidR="00576AE4" w:rsidRPr="00A24BBD" w14:paraId="638B36D0" w14:textId="77777777" w:rsidTr="00811FF2">
        <w:trPr>
          <w:jc w:val="center"/>
        </w:trPr>
        <w:tc>
          <w:tcPr>
            <w:tcW w:w="4587" w:type="dxa"/>
          </w:tcPr>
          <w:p w14:paraId="5AA0D820" w14:textId="77777777" w:rsidR="00576AE4" w:rsidRPr="001E464C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464C">
              <w:rPr>
                <w:rFonts w:ascii="Arial" w:hAnsi="Arial" w:cs="Arial"/>
                <w:sz w:val="20"/>
                <w:szCs w:val="20"/>
                <w:lang w:val="es-ES"/>
              </w:rPr>
              <w:t>Frank Rueckbrodt</w:t>
            </w:r>
          </w:p>
          <w:p w14:paraId="67903AFC" w14:textId="77777777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2333BCF3" w14:textId="77777777" w:rsidR="00576AE4" w:rsidRDefault="00576AE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12E4833B" w14:textId="77777777" w:rsidR="00576AE4" w:rsidRDefault="00576AE4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02/06/2020</w:t>
            </w:r>
          </w:p>
        </w:tc>
      </w:tr>
      <w:tr w:rsidR="00576AE4" w:rsidRPr="00A24BBD" w14:paraId="4EE260C2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6EC2B53B" w14:textId="77777777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8121D">
              <w:rPr>
                <w:rFonts w:ascii="Arial" w:hAnsi="Arial" w:cs="Arial"/>
                <w:sz w:val="20"/>
                <w:szCs w:val="20"/>
                <w:lang w:val="es-ES"/>
              </w:rPr>
              <w:t>Kirsten Oppenlaender</w:t>
            </w:r>
          </w:p>
          <w:p w14:paraId="3EAF9950" w14:textId="77777777" w:rsidR="00576AE4" w:rsidRPr="001E464C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719955B8" w14:textId="77777777" w:rsidR="00576AE4" w:rsidRPr="00A24BBD" w:rsidRDefault="00576AE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227A74DF" w14:textId="0D3D3F61" w:rsidR="00576AE4" w:rsidRPr="007D6DF9" w:rsidRDefault="00811FF2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14/06/2022</w:t>
            </w:r>
          </w:p>
        </w:tc>
      </w:tr>
      <w:tr w:rsidR="00576AE4" w:rsidRPr="00A24BBD" w14:paraId="3CFEE4EF" w14:textId="77777777" w:rsidTr="00811FF2">
        <w:trPr>
          <w:jc w:val="center"/>
        </w:trPr>
        <w:tc>
          <w:tcPr>
            <w:tcW w:w="4587" w:type="dxa"/>
          </w:tcPr>
          <w:p w14:paraId="5DA6D2D5" w14:textId="77777777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Christian Nolting </w:t>
            </w:r>
          </w:p>
          <w:p w14:paraId="63F325D8" w14:textId="77777777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01FFC1F7" w14:textId="77777777" w:rsidR="00576AE4" w:rsidRDefault="00576AE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4BC0C2D3" w14:textId="77777777" w:rsidR="00576AE4" w:rsidRDefault="00576AE4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02/06/2021</w:t>
            </w:r>
          </w:p>
        </w:tc>
      </w:tr>
      <w:tr w:rsidR="00811FF2" w:rsidRPr="00A24BBD" w14:paraId="6369B883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671DF41C" w14:textId="77777777" w:rsidR="00811FF2" w:rsidRDefault="00811FF2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Michael Morley </w:t>
            </w:r>
          </w:p>
          <w:p w14:paraId="09DE3F3B" w14:textId="2DE93834" w:rsidR="00811FF2" w:rsidRDefault="00811FF2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2E2C81FE" w14:textId="54E2B96F" w:rsidR="00811FF2" w:rsidRDefault="00811FF2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24BBD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  <w:r w:rsidR="006C594D">
              <w:rPr>
                <w:rFonts w:ascii="Arial" w:hAnsi="Arial" w:cs="Arial"/>
                <w:sz w:val="20"/>
                <w:szCs w:val="20"/>
                <w:lang w:val="es-ES"/>
              </w:rPr>
              <w:t xml:space="preserve"> “otro externo”</w:t>
            </w:r>
          </w:p>
        </w:tc>
        <w:tc>
          <w:tcPr>
            <w:tcW w:w="3149" w:type="dxa"/>
          </w:tcPr>
          <w:p w14:paraId="7C83B2A7" w14:textId="15819F73" w:rsidR="00811FF2" w:rsidRDefault="00811FF2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14/06/2022</w:t>
            </w:r>
          </w:p>
        </w:tc>
      </w:tr>
      <w:tr w:rsidR="00576AE4" w:rsidRPr="00A24BBD" w14:paraId="3427B221" w14:textId="77777777" w:rsidTr="00811FF2">
        <w:trPr>
          <w:jc w:val="center"/>
        </w:trPr>
        <w:tc>
          <w:tcPr>
            <w:tcW w:w="4587" w:type="dxa"/>
          </w:tcPr>
          <w:p w14:paraId="0C34496E" w14:textId="231FCD48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Jan-Philipp Gillmann</w:t>
            </w:r>
          </w:p>
          <w:p w14:paraId="2CAE77A2" w14:textId="4C9F094A" w:rsidR="00576AE4" w:rsidRDefault="00576AE4" w:rsidP="00811FF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0E03E180" w14:textId="77777777" w:rsidR="00576AE4" w:rsidRDefault="00576AE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  <w:p w14:paraId="3C303D58" w14:textId="76574BCD" w:rsidR="00576AE4" w:rsidRDefault="00576AE4" w:rsidP="00576AE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49" w:type="dxa"/>
          </w:tcPr>
          <w:p w14:paraId="21AE3B5A" w14:textId="3FE78734" w:rsidR="00576AE4" w:rsidRDefault="00576AE4" w:rsidP="00576AE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19/01/2022</w:t>
            </w:r>
          </w:p>
        </w:tc>
      </w:tr>
      <w:tr w:rsidR="00D70524" w:rsidRPr="00A24BBD" w14:paraId="75FE5BCB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3C33EB41" w14:textId="46DDBE5A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Jasmine Ray (Mathews) </w:t>
            </w:r>
          </w:p>
          <w:p w14:paraId="0C880D8D" w14:textId="3A146A04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53D2B089" w14:textId="77777777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  <w:p w14:paraId="5A7C944A" w14:textId="77777777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49" w:type="dxa"/>
          </w:tcPr>
          <w:p w14:paraId="7851D251" w14:textId="1658C1DB" w:rsidR="00D70524" w:rsidRDefault="00D70524" w:rsidP="00D705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18/10/2022</w:t>
            </w:r>
          </w:p>
        </w:tc>
      </w:tr>
      <w:tr w:rsidR="00D70524" w:rsidRPr="00A24BBD" w14:paraId="21AFF3DF" w14:textId="77777777" w:rsidTr="00811FF2">
        <w:trPr>
          <w:jc w:val="center"/>
        </w:trPr>
        <w:tc>
          <w:tcPr>
            <w:tcW w:w="4587" w:type="dxa"/>
          </w:tcPr>
          <w:p w14:paraId="19A16BDC" w14:textId="77777777" w:rsidR="00D70524" w:rsidRPr="001E464C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Miriam González-Amézqueta López</w:t>
            </w:r>
          </w:p>
          <w:p w14:paraId="60B391E4" w14:textId="77777777" w:rsidR="00D70524" w:rsidRPr="001E464C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3F0AFCB" w14:textId="77777777" w:rsidR="00D70524" w:rsidRPr="00A24BBD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2394E207" w14:textId="77777777" w:rsidR="00D70524" w:rsidRPr="00A24BBD" w:rsidRDefault="00D70524" w:rsidP="00D705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02/06/2020</w:t>
            </w:r>
          </w:p>
        </w:tc>
      </w:tr>
      <w:tr w:rsidR="00D70524" w:rsidRPr="00A24BBD" w14:paraId="140A5603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3591A925" w14:textId="389862DE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Sonsoles Seoane García</w:t>
            </w:r>
          </w:p>
          <w:p w14:paraId="7C7C2013" w14:textId="208F53E1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40E77BCD" w14:textId="794150CF" w:rsidR="00D70524" w:rsidRPr="00A24BBD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0B854DE7" w14:textId="24D8C048" w:rsidR="00D70524" w:rsidRDefault="00D70524" w:rsidP="00D705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14/06/2022</w:t>
            </w:r>
          </w:p>
        </w:tc>
      </w:tr>
      <w:tr w:rsidR="00D70524" w:rsidRPr="00A24BBD" w14:paraId="53B434ED" w14:textId="77777777" w:rsidTr="00811FF2">
        <w:trPr>
          <w:jc w:val="center"/>
        </w:trPr>
        <w:tc>
          <w:tcPr>
            <w:tcW w:w="4587" w:type="dxa"/>
          </w:tcPr>
          <w:p w14:paraId="5B6A0FD9" w14:textId="41C3F825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Nieves Estévez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Luaña</w:t>
            </w:r>
            <w:proofErr w:type="spellEnd"/>
          </w:p>
          <w:p w14:paraId="69C72D94" w14:textId="5F65B1FD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192C743D" w14:textId="78F9ECE3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Secretario no consejero</w:t>
            </w:r>
          </w:p>
        </w:tc>
        <w:tc>
          <w:tcPr>
            <w:tcW w:w="3149" w:type="dxa"/>
          </w:tcPr>
          <w:p w14:paraId="59740A19" w14:textId="7D67FB21" w:rsidR="00D70524" w:rsidRDefault="00D70524" w:rsidP="00D705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14/09/2022</w:t>
            </w:r>
          </w:p>
        </w:tc>
      </w:tr>
      <w:tr w:rsidR="00D70524" w:rsidRPr="00A24BBD" w14:paraId="748E50F4" w14:textId="77777777" w:rsidTr="00811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</w:tcPr>
          <w:p w14:paraId="254FB40D" w14:textId="77777777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DBB25C5" w14:textId="77777777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Natalia Fuertes González</w:t>
            </w:r>
          </w:p>
        </w:tc>
        <w:tc>
          <w:tcPr>
            <w:tcW w:w="1484" w:type="dxa"/>
          </w:tcPr>
          <w:p w14:paraId="0FA4E89C" w14:textId="77777777" w:rsidR="00D70524" w:rsidRDefault="00D70524" w:rsidP="00D705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Vice secretario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no consejero</w:t>
            </w:r>
          </w:p>
        </w:tc>
        <w:tc>
          <w:tcPr>
            <w:tcW w:w="3149" w:type="dxa"/>
          </w:tcPr>
          <w:p w14:paraId="447C6DD5" w14:textId="77777777" w:rsidR="00D70524" w:rsidRDefault="00D70524" w:rsidP="00D705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31/03/2016</w:t>
            </w:r>
          </w:p>
        </w:tc>
      </w:tr>
    </w:tbl>
    <w:p w14:paraId="12C492E9" w14:textId="3C527ABB" w:rsidR="00D57A8B" w:rsidRDefault="00D57A8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433B233D" w14:textId="4EC3A3B1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426B908C" w14:textId="33951D22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7A8B65C2" w14:textId="50CBBD76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3330269E" w14:textId="59465191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79B3FD2A" w14:textId="09043E21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02D033DC" w14:textId="0862376C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3AF4DC11" w14:textId="77777777" w:rsidR="008A1ABB" w:rsidRDefault="008A1ABB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1A44A846" w14:textId="77777777" w:rsidR="00841C46" w:rsidRPr="001E464C" w:rsidRDefault="00841C46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>Nombramiento</w:t>
      </w:r>
    </w:p>
    <w:p w14:paraId="0C894400" w14:textId="5EAB3AA0" w:rsidR="0008121D" w:rsidRPr="008A1ABB" w:rsidRDefault="00841C46" w:rsidP="00841C46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Todos los miembros del Consejo de Administración han sido nombrados siguiendo el procedimiento previsto internamente.</w:t>
      </w:r>
    </w:p>
    <w:p w14:paraId="4F40E384" w14:textId="77777777" w:rsidR="00841C46" w:rsidRPr="001E464C" w:rsidRDefault="00841C46" w:rsidP="00841C46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>Funciones del Consejo de Administración</w:t>
      </w:r>
      <w:r w:rsidRPr="00887CE3">
        <w:rPr>
          <w:color w:val="00B0F0"/>
          <w:sz w:val="20"/>
          <w:szCs w:val="20"/>
          <w:vertAlign w:val="superscript"/>
        </w:rPr>
        <w:footnoteReference w:id="1"/>
      </w:r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 xml:space="preserve">: </w:t>
      </w:r>
    </w:p>
    <w:p w14:paraId="07652396" w14:textId="77777777" w:rsidR="00841C46" w:rsidRPr="00A24BBD" w:rsidRDefault="00841C46" w:rsidP="00841C46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 xml:space="preserve">El Consejo estará revestido de amplios poderes sin limitación ni reserva de clase alguna para realizar todas aquellas operaciones relacionadas con el objeto social. </w:t>
      </w:r>
    </w:p>
    <w:p w14:paraId="4E12E2CB" w14:textId="77777777" w:rsidR="00841C46" w:rsidRPr="00A24BBD" w:rsidRDefault="00841C46" w:rsidP="00841C46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Serán</w:t>
      </w:r>
      <w:r w:rsidRPr="00A24BBD">
        <w:rPr>
          <w:rFonts w:ascii="Arial" w:hAnsi="Arial" w:cs="Arial"/>
          <w:b/>
          <w:sz w:val="20"/>
          <w:szCs w:val="20"/>
          <w:lang w:val="es-ES"/>
        </w:rPr>
        <w:t xml:space="preserve"> funciones indelegables </w:t>
      </w:r>
      <w:r w:rsidRPr="00A24BBD">
        <w:rPr>
          <w:rFonts w:ascii="Arial" w:hAnsi="Arial" w:cs="Arial"/>
          <w:sz w:val="20"/>
          <w:szCs w:val="20"/>
          <w:lang w:val="es-ES"/>
        </w:rPr>
        <w:t>del Consejo las siguientes:</w:t>
      </w:r>
    </w:p>
    <w:p w14:paraId="45937384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 xml:space="preserve">La vigilancia, control y evaluación periódica de la eficacia del sistema de gobierno </w:t>
      </w:r>
      <w:proofErr w:type="gramStart"/>
      <w:r w:rsidRPr="00A24BBD">
        <w:rPr>
          <w:rFonts w:ascii="Arial" w:hAnsi="Arial" w:cs="Arial"/>
          <w:sz w:val="20"/>
          <w:szCs w:val="20"/>
          <w:lang w:val="es-ES"/>
        </w:rPr>
        <w:t>corporativo</w:t>
      </w:r>
      <w:proofErr w:type="gramEnd"/>
      <w:r w:rsidRPr="00A24BBD">
        <w:rPr>
          <w:rFonts w:ascii="Arial" w:hAnsi="Arial" w:cs="Arial"/>
          <w:sz w:val="20"/>
          <w:szCs w:val="20"/>
          <w:lang w:val="es-ES"/>
        </w:rPr>
        <w:t xml:space="preserve"> así como la adopción de las medidas adecuadas para solventar, en su caso, sus deficiencias;</w:t>
      </w:r>
    </w:p>
    <w:p w14:paraId="44C36CC3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Asumir la responsabilidad de la administración y gestión de la Sociedad, la aprobación y vigilancia de la aplicación de sus objetivos estratégicos, su estrategia de riesgo y su gobierno interno;</w:t>
      </w:r>
    </w:p>
    <w:p w14:paraId="18305E91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Garantizar la integridad de los sistemas de información contable y financiera, incluidos el control financiero y operativo y el cumplimiento de la legislación aplicable;</w:t>
      </w:r>
    </w:p>
    <w:p w14:paraId="12A89F78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Supervisar el proceso de divulgación de información y las comunicaciones relativas a la Sociedad;</w:t>
      </w:r>
    </w:p>
    <w:p w14:paraId="69FA7A4F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Garantizar una supervisión efectiva de la alta dirección;</w:t>
      </w:r>
    </w:p>
    <w:p w14:paraId="49331FFC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supervisión del efectivo funcionamiento de las comisiones que hubiera constituido y de la actuación de los órganos delegados y de los directivos que hubiera designado.</w:t>
      </w:r>
    </w:p>
    <w:p w14:paraId="495EE6FB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determinación de las políticas y estrategias generales de la sociedad.</w:t>
      </w:r>
    </w:p>
    <w:p w14:paraId="58CFFC41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autorización o dispensa de las obligaciones derivadas del deber de lealtad conforme a lo dispuesto en el artículo 230 de la Ley de Sociedades de Capital.</w:t>
      </w:r>
    </w:p>
    <w:p w14:paraId="3E0D37FC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Su propia organización y funcionamiento.</w:t>
      </w:r>
    </w:p>
    <w:p w14:paraId="1C298761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formulación de las cuentas anuales y su presentación a la junta general.</w:t>
      </w:r>
    </w:p>
    <w:p w14:paraId="003B5CFF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formulación de cualquier clase de informe exigido por la ley al órgano de administración siempre y cuando la operación a que se refiere el informe no pueda ser delegada.</w:t>
      </w:r>
    </w:p>
    <w:p w14:paraId="006B646E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El nombramiento y destitución de los consejeros delegados de la sociedad, así como el establecimiento de las condiciones de su contrato.</w:t>
      </w:r>
    </w:p>
    <w:p w14:paraId="32F86F82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El nombramiento y destitución de los directivos que tuvieran dependencia directa del consejo o de alguno de sus miembros, así como el establecimiento de las condiciones básicas de sus contratos, incluyendo su retribución.</w:t>
      </w:r>
    </w:p>
    <w:p w14:paraId="7FDAA221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Las decisiones relativas a la remuneración de los consejeros, dentro del marco estatutario y, en su caso, de la política de remuneraciones aprobada por la junta general.</w:t>
      </w:r>
    </w:p>
    <w:p w14:paraId="018AD197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lastRenderedPageBreak/>
        <w:t>La convocatoria de la junta general de accionistas y la elaboración del orden del día y la propuesta de acuerdos.</w:t>
      </w:r>
    </w:p>
    <w:p w14:paraId="45973C3C" w14:textId="77777777" w:rsidR="00E01FAC" w:rsidRPr="0037372D" w:rsidRDefault="00841C46" w:rsidP="0037372D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 política relativa a las acciones o participaciones propias.</w:t>
      </w:r>
    </w:p>
    <w:p w14:paraId="55EEB458" w14:textId="77777777" w:rsidR="00841C46" w:rsidRPr="00A24BBD" w:rsidRDefault="00841C46" w:rsidP="00841C46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Las facultades que la junta general hubiera delegado en el consejo de administración, salvo que hubiera sido expresamente autorizado por ella para subdelegarlas.</w:t>
      </w:r>
    </w:p>
    <w:p w14:paraId="41898483" w14:textId="77777777" w:rsidR="00841C46" w:rsidRPr="00A24BBD" w:rsidRDefault="00841C46" w:rsidP="00841C46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A24BBD">
        <w:rPr>
          <w:rFonts w:ascii="Arial" w:hAnsi="Arial" w:cs="Arial"/>
          <w:sz w:val="20"/>
          <w:szCs w:val="20"/>
          <w:lang w:val="es-ES"/>
        </w:rPr>
        <w:t>Además</w:t>
      </w:r>
      <w:proofErr w:type="gramEnd"/>
      <w:r w:rsidRPr="00A24BBD">
        <w:rPr>
          <w:rFonts w:ascii="Arial" w:hAnsi="Arial" w:cs="Arial"/>
          <w:sz w:val="20"/>
          <w:szCs w:val="20"/>
          <w:lang w:val="es-ES"/>
        </w:rPr>
        <w:t xml:space="preserve"> podrá realizar toda clase de actos de administración, disposición gravamen y dominio, sobre derechos, bienes muebles e inmuebles de la sociedad y en especial, a título enunciativo y no limitativo, se enumeran como </w:t>
      </w:r>
      <w:r w:rsidRPr="00A24BBD">
        <w:rPr>
          <w:rFonts w:ascii="Arial" w:hAnsi="Arial" w:cs="Arial"/>
          <w:b/>
          <w:sz w:val="20"/>
          <w:szCs w:val="20"/>
          <w:lang w:val="es-ES"/>
        </w:rPr>
        <w:t>facultades delegables propias del Consejo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las siguientes:</w:t>
      </w:r>
    </w:p>
    <w:p w14:paraId="53AD68AF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Comprar, disponer, enajenar y gravar toda clase de bienes muebles e inmuebles y constituir, aceptar, modificar y extinguir toda clase de derechos personales y reales, hipotecas, prendas con y sin desplazamiento, servidumbres y demás gravámenes.</w:t>
      </w:r>
    </w:p>
    <w:p w14:paraId="3E95EC46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Otorgar toda clase de actos, contratos o negocios jurídicos, con los pactos, cláusulas y condiciones que estime oportuno establecer; transigir y pactar arbitrajes; tomar parte en concursos y subastas, hacer propuestas y aceptar adjudicaciones. Adquirir, gravar y enajenar por cualquier título, y en general realizar cualesquiera operaciones sobre acciones, participaciones, obligaciones u otros títulos valores, así como realizar actos de los que resulte la participación en otras Sociedades, bien concurriendo a su constitución o suscribiendo acciones o participaciones en aumentos de capital u otras emisiones de títulos valores. Avalar y afianzar obligaciones de terceros.</w:t>
      </w:r>
    </w:p>
    <w:p w14:paraId="18960616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Administrar bienes muebles e inmuebles; hacer declaraciones de edificación y plantación, deslindes, amojonamientos, divisiones materiales, modificaciones hipotecarias, concertar, modificar y extinguir arrendamientos y cualesquiera otras cesiones de uso y disfrute.</w:t>
      </w:r>
    </w:p>
    <w:p w14:paraId="4E742680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Girar, aceptar, endosar, intervenir, avalar y protestar letras de cambio y otros documentos de giro.</w:t>
      </w:r>
    </w:p>
    <w:p w14:paraId="58F5D24B" w14:textId="77777777" w:rsidR="00841C46" w:rsidRPr="001E464C" w:rsidRDefault="00841C46" w:rsidP="001E464C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Dar y tomar dinero a préstamo o crédito, con garantía personal, pignoraticia o hipotecaria; aceptar, posponer, dividir, modificar, sustituir y cancelar anticresis, prendas, con o sin</w:t>
      </w:r>
      <w:r w:rsidR="001E464C">
        <w:rPr>
          <w:rFonts w:ascii="Arial" w:hAnsi="Arial" w:cs="Arial"/>
          <w:sz w:val="20"/>
          <w:szCs w:val="20"/>
          <w:lang w:val="es-ES"/>
        </w:rPr>
        <w:t xml:space="preserve"> </w:t>
      </w:r>
      <w:r w:rsidRPr="001E464C">
        <w:rPr>
          <w:rFonts w:ascii="Arial" w:hAnsi="Arial" w:cs="Arial"/>
          <w:sz w:val="20"/>
          <w:szCs w:val="20"/>
          <w:lang w:val="es-ES"/>
        </w:rPr>
        <w:t>desplazamiento, pignoraciones, fianzas, avales, hipotecas y demás garantías constituidas en derecho; constituir y aceptar toda clase de hipotecas en garantía de deuda propia o ajena.</w:t>
      </w:r>
    </w:p>
    <w:p w14:paraId="69916042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Disponer, seguir, abrir y cancelar cuentas y depósitos de cualquier tipo en cualquier clase de entidades de crédito y ahorro, bancos, incluso el de España y demás Bancos, Institutos y Organismos Oficiales, haciendo todo cuanto la legislación y la práctica bancaria permitan.</w:t>
      </w:r>
    </w:p>
    <w:p w14:paraId="0926BC17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Otorgar contratos de trabajo, de transporte y traspaso de locales de negocio; retirar y remitir géneros, envíos y giros.</w:t>
      </w:r>
    </w:p>
    <w:p w14:paraId="2E0A785A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Comparecer ante toda clase de juzgados y tribunales de cualquier jurisdicción, y ante toda clase de organismos públicos, en cualquier concepto, y en toda clase de juicios y procedimientos; interponer recursos, incluso de casación, revisión o nulidad, ratificar escritos y desistir de las actuaciones, ya directamente o por medio de Abogados y Procuradores, a los que podrán conferir los oportunos poderes.</w:t>
      </w:r>
    </w:p>
    <w:p w14:paraId="62B7DECC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Dirigir la organización comercial de la sociedad y sus negocios, nombrando y separando empleados y representantes.</w:t>
      </w:r>
    </w:p>
    <w:p w14:paraId="42EB2A9A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 xml:space="preserve">Otorgar y firmar toda clase de documentos públicos y privados; retirar y cobrar cualquier cantidad o fondos de cualquier organismo público o privado, firmando al efecto cartas de pago, recibos, facturas y libramientos. </w:t>
      </w:r>
    </w:p>
    <w:p w14:paraId="52CE1E66" w14:textId="77777777" w:rsidR="00841C46" w:rsidRPr="00A24BBD" w:rsidRDefault="00841C46" w:rsidP="00841C46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lastRenderedPageBreak/>
        <w:t xml:space="preserve">Conceder, modificar y revocar toda clase de apoderamientos. </w:t>
      </w:r>
    </w:p>
    <w:p w14:paraId="487121B2" w14:textId="13492EB2" w:rsidR="0080350A" w:rsidRDefault="00841C46" w:rsidP="00A24BBD">
      <w:pPr>
        <w:pStyle w:val="ListParagraph"/>
        <w:numPr>
          <w:ilvl w:val="0"/>
          <w:numId w:val="2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Realizar todas las actividades que permita la legislación a las entidades de crédito.</w:t>
      </w:r>
    </w:p>
    <w:p w14:paraId="79913109" w14:textId="3E69C095" w:rsidR="0013573E" w:rsidRDefault="0013573E" w:rsidP="0013573E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A0DDCA8" w14:textId="77777777" w:rsidR="0013573E" w:rsidRPr="0013573E" w:rsidRDefault="0013573E" w:rsidP="0013573E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726800F" w14:textId="77777777" w:rsidR="00A24BBD" w:rsidRPr="001E464C" w:rsidRDefault="00A24BBD" w:rsidP="00A24BBD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 xml:space="preserve">I. Idoneidad de los </w:t>
      </w:r>
      <w:proofErr w:type="gramStart"/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>Consejeros</w:t>
      </w:r>
      <w:proofErr w:type="gramEnd"/>
    </w:p>
    <w:p w14:paraId="5B0B837C" w14:textId="7D3A6AD6" w:rsidR="00A24BBD" w:rsidRPr="00A24BBD" w:rsidRDefault="00A24BBD" w:rsidP="00A24BBD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El Consejo de Administración de Deutsche Bank, S.A.E.</w:t>
      </w:r>
      <w:r w:rsidR="00CD4EC7">
        <w:rPr>
          <w:rFonts w:ascii="Arial" w:hAnsi="Arial" w:cs="Arial"/>
          <w:sz w:val="20"/>
          <w:szCs w:val="20"/>
          <w:lang w:val="es-ES"/>
        </w:rPr>
        <w:t xml:space="preserve">U. 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aprobó el 1</w:t>
      </w:r>
      <w:r w:rsidR="001D0FBD">
        <w:rPr>
          <w:rFonts w:ascii="Arial" w:hAnsi="Arial" w:cs="Arial"/>
          <w:sz w:val="20"/>
          <w:szCs w:val="20"/>
          <w:lang w:val="es-ES"/>
        </w:rPr>
        <w:t>4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de junio de </w:t>
      </w:r>
      <w:r w:rsidR="001D0FBD">
        <w:rPr>
          <w:rFonts w:ascii="Arial" w:hAnsi="Arial" w:cs="Arial"/>
          <w:sz w:val="20"/>
          <w:szCs w:val="20"/>
          <w:lang w:val="es-ES"/>
        </w:rPr>
        <w:t>2016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</w:t>
      </w:r>
      <w:r w:rsidR="004228E1">
        <w:rPr>
          <w:rFonts w:ascii="Arial" w:hAnsi="Arial" w:cs="Arial"/>
          <w:sz w:val="20"/>
          <w:szCs w:val="20"/>
          <w:lang w:val="es-ES"/>
        </w:rPr>
        <w:t>la versión revisada d</w:t>
      </w:r>
      <w:r w:rsidRPr="00A24BBD">
        <w:rPr>
          <w:rFonts w:ascii="Arial" w:hAnsi="Arial" w:cs="Arial"/>
          <w:sz w:val="20"/>
          <w:szCs w:val="20"/>
          <w:lang w:val="es-ES"/>
        </w:rPr>
        <w:t>el manual de procedimiento de evaluaci</w:t>
      </w:r>
      <w:r w:rsidR="001D0FBD">
        <w:rPr>
          <w:rFonts w:ascii="Arial" w:hAnsi="Arial" w:cs="Arial"/>
          <w:sz w:val="20"/>
          <w:szCs w:val="20"/>
          <w:lang w:val="es-ES"/>
        </w:rPr>
        <w:t xml:space="preserve">ón de idoneidad de </w:t>
      </w:r>
      <w:proofErr w:type="gramStart"/>
      <w:r w:rsidR="001D0FBD">
        <w:rPr>
          <w:rFonts w:ascii="Arial" w:hAnsi="Arial" w:cs="Arial"/>
          <w:sz w:val="20"/>
          <w:szCs w:val="20"/>
          <w:lang w:val="es-ES"/>
        </w:rPr>
        <w:t>Consejeros</w:t>
      </w:r>
      <w:proofErr w:type="gramEnd"/>
      <w:r w:rsidR="001D0FBD">
        <w:rPr>
          <w:rFonts w:ascii="Arial" w:hAnsi="Arial" w:cs="Arial"/>
          <w:sz w:val="20"/>
          <w:szCs w:val="20"/>
          <w:lang w:val="es-ES"/>
        </w:rPr>
        <w:t>. Dicho procedimiento consiste en:</w:t>
      </w:r>
    </w:p>
    <w:p w14:paraId="63C00330" w14:textId="77777777" w:rsidR="00A24BBD" w:rsidRPr="00A24BBD" w:rsidRDefault="00A24BBD" w:rsidP="00A24BBD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(i) Propuesta de nombramiento por parte del Departamento de Recursos Humanos;</w:t>
      </w:r>
    </w:p>
    <w:p w14:paraId="58472BCB" w14:textId="77777777" w:rsidR="004228E1" w:rsidRPr="00A24BBD" w:rsidRDefault="00A24BBD" w:rsidP="00A24BBD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(</w:t>
      </w:r>
      <w:proofErr w:type="spellStart"/>
      <w:r w:rsidRPr="00A24BBD">
        <w:rPr>
          <w:rFonts w:ascii="Arial" w:hAnsi="Arial" w:cs="Arial"/>
          <w:sz w:val="20"/>
          <w:szCs w:val="20"/>
          <w:lang w:val="es-ES"/>
        </w:rPr>
        <w:t>ii</w:t>
      </w:r>
      <w:proofErr w:type="spellEnd"/>
      <w:r w:rsidRPr="00A24BBD">
        <w:rPr>
          <w:rFonts w:ascii="Arial" w:hAnsi="Arial" w:cs="Arial"/>
          <w:sz w:val="20"/>
          <w:szCs w:val="20"/>
          <w:lang w:val="es-ES"/>
        </w:rPr>
        <w:t>) Evaluación preliminar por parte de</w:t>
      </w:r>
      <w:r w:rsidR="001D0FBD">
        <w:rPr>
          <w:rFonts w:ascii="Arial" w:hAnsi="Arial" w:cs="Arial"/>
          <w:sz w:val="20"/>
          <w:szCs w:val="20"/>
          <w:lang w:val="es-ES"/>
        </w:rPr>
        <w:t xml:space="preserve"> Regional Management</w:t>
      </w:r>
      <w:r w:rsidRPr="00A24BBD">
        <w:rPr>
          <w:rFonts w:ascii="Arial" w:hAnsi="Arial" w:cs="Arial"/>
          <w:sz w:val="20"/>
          <w:szCs w:val="20"/>
          <w:lang w:val="es-ES"/>
        </w:rPr>
        <w:t>;</w:t>
      </w:r>
    </w:p>
    <w:p w14:paraId="3D67DF0A" w14:textId="77777777" w:rsidR="00A24BBD" w:rsidRPr="00A24BBD" w:rsidRDefault="00A24BBD" w:rsidP="00A24BBD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(</w:t>
      </w:r>
      <w:proofErr w:type="spellStart"/>
      <w:r w:rsidRPr="00A24BBD">
        <w:rPr>
          <w:rFonts w:ascii="Arial" w:hAnsi="Arial" w:cs="Arial"/>
          <w:sz w:val="20"/>
          <w:szCs w:val="20"/>
          <w:lang w:val="es-ES"/>
        </w:rPr>
        <w:t>iii</w:t>
      </w:r>
      <w:proofErr w:type="spellEnd"/>
      <w:r w:rsidRPr="00A24BBD">
        <w:rPr>
          <w:rFonts w:ascii="Arial" w:hAnsi="Arial" w:cs="Arial"/>
          <w:sz w:val="20"/>
          <w:szCs w:val="20"/>
          <w:lang w:val="es-ES"/>
        </w:rPr>
        <w:t>) Aprobación d</w:t>
      </w:r>
      <w:r w:rsidR="004228E1">
        <w:rPr>
          <w:rFonts w:ascii="Arial" w:hAnsi="Arial" w:cs="Arial"/>
          <w:sz w:val="20"/>
          <w:szCs w:val="20"/>
          <w:lang w:val="es-ES"/>
        </w:rPr>
        <w:t>el nombramiento en la C</w:t>
      </w:r>
      <w:r w:rsidR="001D0FBD">
        <w:rPr>
          <w:rFonts w:ascii="Arial" w:hAnsi="Arial" w:cs="Arial"/>
          <w:sz w:val="20"/>
          <w:szCs w:val="20"/>
          <w:lang w:val="es-ES"/>
        </w:rPr>
        <w:t xml:space="preserve">omisión de </w:t>
      </w:r>
      <w:r w:rsidRPr="00A24BBD">
        <w:rPr>
          <w:rFonts w:ascii="Arial" w:hAnsi="Arial" w:cs="Arial"/>
          <w:sz w:val="20"/>
          <w:szCs w:val="20"/>
          <w:lang w:val="es-ES"/>
        </w:rPr>
        <w:t>Nombramientos</w:t>
      </w:r>
      <w:r w:rsidR="004228E1">
        <w:rPr>
          <w:rFonts w:ascii="Arial" w:hAnsi="Arial" w:cs="Arial"/>
          <w:sz w:val="20"/>
          <w:szCs w:val="20"/>
          <w:lang w:val="es-ES"/>
        </w:rPr>
        <w:t xml:space="preserve"> y del Consejo de Administración</w:t>
      </w:r>
      <w:r w:rsidRPr="00A24BBD">
        <w:rPr>
          <w:rFonts w:ascii="Arial" w:hAnsi="Arial" w:cs="Arial"/>
          <w:sz w:val="20"/>
          <w:szCs w:val="20"/>
          <w:lang w:val="es-ES"/>
        </w:rPr>
        <w:t>;</w:t>
      </w:r>
    </w:p>
    <w:p w14:paraId="54E469BC" w14:textId="48189412" w:rsidR="00A24BBD" w:rsidRPr="001D0FBD" w:rsidRDefault="00A24BBD" w:rsidP="001D0FBD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(</w:t>
      </w:r>
      <w:proofErr w:type="spellStart"/>
      <w:r w:rsidRPr="00A24BBD">
        <w:rPr>
          <w:rFonts w:ascii="Arial" w:hAnsi="Arial" w:cs="Arial"/>
          <w:sz w:val="20"/>
          <w:szCs w:val="20"/>
          <w:lang w:val="es-ES"/>
        </w:rPr>
        <w:t>iv</w:t>
      </w:r>
      <w:proofErr w:type="spellEnd"/>
      <w:r w:rsidRPr="00A24BBD">
        <w:rPr>
          <w:rFonts w:ascii="Arial" w:hAnsi="Arial" w:cs="Arial"/>
          <w:sz w:val="20"/>
          <w:szCs w:val="20"/>
          <w:lang w:val="es-ES"/>
        </w:rPr>
        <w:t>) Preparación del dossier con toda la documentación por parte del Departamento de Legal</w:t>
      </w:r>
      <w:r w:rsidR="00936F67">
        <w:rPr>
          <w:rFonts w:ascii="Arial" w:hAnsi="Arial" w:cs="Arial"/>
          <w:sz w:val="20"/>
          <w:szCs w:val="20"/>
          <w:lang w:val="es-ES"/>
        </w:rPr>
        <w:t>/Recursos Humanos</w:t>
      </w:r>
      <w:r w:rsidRPr="00A24BBD">
        <w:rPr>
          <w:rFonts w:ascii="Arial" w:hAnsi="Arial" w:cs="Arial"/>
          <w:sz w:val="20"/>
          <w:szCs w:val="20"/>
          <w:lang w:val="es-ES"/>
        </w:rPr>
        <w:t>, para remitir a Banco de España</w:t>
      </w:r>
      <w:r w:rsidR="00936F67">
        <w:rPr>
          <w:rFonts w:ascii="Arial" w:hAnsi="Arial" w:cs="Arial"/>
          <w:sz w:val="20"/>
          <w:szCs w:val="20"/>
          <w:lang w:val="es-ES"/>
        </w:rPr>
        <w:t>/Banco Central Europeo.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</w:t>
      </w:r>
      <w:r w:rsidR="001D0FBD">
        <w:rPr>
          <w:rFonts w:ascii="Arial" w:hAnsi="Arial" w:cs="Arial"/>
          <w:sz w:val="20"/>
          <w:szCs w:val="20"/>
          <w:lang w:val="es-ES"/>
        </w:rPr>
        <w:t>Dicha documentación consiste en:</w:t>
      </w:r>
    </w:p>
    <w:p w14:paraId="126005DB" w14:textId="3D7547E4" w:rsidR="00A24BBD" w:rsidRDefault="00936F67" w:rsidP="00936F6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</w:t>
      </w:r>
      <w:r w:rsidR="00975FCE">
        <w:rPr>
          <w:rFonts w:ascii="Arial" w:hAnsi="Arial" w:cs="Arial"/>
          <w:sz w:val="20"/>
          <w:lang w:val="es-ES"/>
        </w:rPr>
        <w:t>E</w:t>
      </w:r>
      <w:r w:rsidR="00975FCE" w:rsidRPr="00A24BBD">
        <w:rPr>
          <w:rFonts w:ascii="Arial" w:hAnsi="Arial" w:cs="Arial"/>
          <w:sz w:val="20"/>
          <w:lang w:val="es-ES"/>
        </w:rPr>
        <w:t>l informe favorable de</w:t>
      </w:r>
      <w:r w:rsidR="00975FCE">
        <w:rPr>
          <w:rFonts w:ascii="Arial" w:hAnsi="Arial" w:cs="Arial"/>
          <w:sz w:val="20"/>
          <w:lang w:val="es-ES"/>
        </w:rPr>
        <w:t xml:space="preserve"> la Comisión de Nombramientos y del </w:t>
      </w:r>
      <w:proofErr w:type="gramStart"/>
      <w:r w:rsidR="00975FCE">
        <w:rPr>
          <w:rFonts w:ascii="Arial" w:hAnsi="Arial" w:cs="Arial"/>
          <w:sz w:val="20"/>
          <w:lang w:val="es-ES"/>
        </w:rPr>
        <w:t>Presidente</w:t>
      </w:r>
      <w:proofErr w:type="gramEnd"/>
      <w:r w:rsidR="00975FCE">
        <w:rPr>
          <w:rFonts w:ascii="Arial" w:hAnsi="Arial" w:cs="Arial"/>
          <w:sz w:val="20"/>
          <w:lang w:val="es-ES"/>
        </w:rPr>
        <w:t xml:space="preserve"> del Consejo de Administración en el que</w:t>
      </w:r>
      <w:r w:rsidR="00975FCE" w:rsidRPr="00A24BBD">
        <w:rPr>
          <w:rFonts w:ascii="Arial" w:hAnsi="Arial" w:cs="Arial"/>
          <w:sz w:val="20"/>
          <w:lang w:val="es-ES"/>
        </w:rPr>
        <w:t xml:space="preserve"> se acredita haber recopilado toda la información necesaria. En base a dicha documentación, se considera que el candidato propuesto (i) presenta una trayectoria de honorabilidad profesional y comercial que no arroja dudas acerca de su capacidad para desarrollar una gestión sana y prudente del Banco; (</w:t>
      </w:r>
      <w:proofErr w:type="spellStart"/>
      <w:r w:rsidR="00975FCE" w:rsidRPr="00A24BBD">
        <w:rPr>
          <w:rFonts w:ascii="Arial" w:hAnsi="Arial" w:cs="Arial"/>
          <w:sz w:val="20"/>
          <w:lang w:val="es-ES"/>
        </w:rPr>
        <w:t>ii</w:t>
      </w:r>
      <w:proofErr w:type="spellEnd"/>
      <w:r w:rsidR="00975FCE" w:rsidRPr="00A24BBD">
        <w:rPr>
          <w:rFonts w:ascii="Arial" w:hAnsi="Arial" w:cs="Arial"/>
          <w:sz w:val="20"/>
          <w:lang w:val="es-ES"/>
        </w:rPr>
        <w:t>) que posee conocimientos y experiencia adecuados que, puestos en relación con los conocimientos y experiencia de los restantes miembros del Consejo de Administración, determinan la suficiencia de los conocimientos y experiencia de dicho Consejo en los términos exigidos por la normativa vigente; y (</w:t>
      </w:r>
      <w:proofErr w:type="spellStart"/>
      <w:r w:rsidR="00975FCE" w:rsidRPr="00A24BBD">
        <w:rPr>
          <w:rFonts w:ascii="Arial" w:hAnsi="Arial" w:cs="Arial"/>
          <w:sz w:val="20"/>
          <w:lang w:val="es-ES"/>
        </w:rPr>
        <w:t>iii</w:t>
      </w:r>
      <w:proofErr w:type="spellEnd"/>
      <w:r w:rsidR="00975FCE" w:rsidRPr="00A24BBD">
        <w:rPr>
          <w:rFonts w:ascii="Arial" w:hAnsi="Arial" w:cs="Arial"/>
          <w:sz w:val="20"/>
          <w:lang w:val="es-ES"/>
        </w:rPr>
        <w:t>) está en disposición de ejercer un buen gobierno en el Banco, sin que se aprecien factores que determinen un conflicto continuado o estructural con los intereses del Banco o que impidan dedicar un tiempo suficiente a sus funciones.</w:t>
      </w:r>
    </w:p>
    <w:p w14:paraId="08CD64CD" w14:textId="77777777" w:rsidR="001D0FBD" w:rsidRPr="00A24BBD" w:rsidRDefault="001D0FBD" w:rsidP="00D442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AA0AF77" w14:textId="2D66600C" w:rsidR="00975FCE" w:rsidRDefault="00936F67" w:rsidP="00D442B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-Copia del DNI, pasaporte y/o NIE Formularios del regulador, </w:t>
      </w:r>
    </w:p>
    <w:p w14:paraId="11783B67" w14:textId="77777777" w:rsidR="00D442B0" w:rsidRDefault="00D442B0" w:rsidP="00D442B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</w:p>
    <w:p w14:paraId="4872B3E8" w14:textId="10517D8D" w:rsidR="00A24BBD" w:rsidRDefault="00936F67" w:rsidP="00936F67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</w:t>
      </w:r>
      <w:r w:rsidR="00A24BBD" w:rsidRPr="00A24BBD">
        <w:rPr>
          <w:rFonts w:ascii="Arial" w:hAnsi="Arial" w:cs="Arial"/>
          <w:sz w:val="20"/>
          <w:szCs w:val="20"/>
          <w:lang w:val="es-ES"/>
        </w:rPr>
        <w:t>Certificado de antecedentes penales</w:t>
      </w:r>
    </w:p>
    <w:p w14:paraId="736C9D8D" w14:textId="77777777" w:rsidR="001D0FBD" w:rsidRPr="00A24BBD" w:rsidRDefault="001D0FBD" w:rsidP="001D0FB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</w:p>
    <w:p w14:paraId="28E514FF" w14:textId="009214A1" w:rsidR="004E179F" w:rsidRDefault="00936F67" w:rsidP="001D0FBD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-</w:t>
      </w:r>
      <w:r w:rsidR="00A24BBD" w:rsidRPr="00A24BBD">
        <w:rPr>
          <w:rFonts w:ascii="Arial" w:hAnsi="Arial" w:cs="Arial"/>
          <w:sz w:val="20"/>
          <w:szCs w:val="20"/>
          <w:lang w:val="es-ES"/>
        </w:rPr>
        <w:t>Formulario</w:t>
      </w:r>
      <w:r w:rsidR="00D442B0">
        <w:rPr>
          <w:rFonts w:ascii="Arial" w:hAnsi="Arial" w:cs="Arial"/>
          <w:sz w:val="20"/>
          <w:szCs w:val="20"/>
          <w:lang w:val="es-ES"/>
        </w:rPr>
        <w:t xml:space="preserve">s y cuestionaros requeridos por los reguladores. </w:t>
      </w:r>
      <w:r>
        <w:rPr>
          <w:rFonts w:ascii="Arial" w:hAnsi="Arial" w:cs="Arial"/>
          <w:sz w:val="20"/>
          <w:szCs w:val="20"/>
          <w:lang w:val="es-ES"/>
        </w:rPr>
        <w:t>sobre experiencia, trayectoria, conocimientos, tiempo y dedicación, número de posiciones, conflictos de interés.</w:t>
      </w:r>
    </w:p>
    <w:p w14:paraId="77634E54" w14:textId="77777777" w:rsidR="001D0FBD" w:rsidRDefault="004E179F" w:rsidP="00D442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7C0E899" w14:textId="77777777" w:rsidR="004228E1" w:rsidRPr="001D0FBD" w:rsidRDefault="004228E1" w:rsidP="001D0FBD">
      <w:pPr>
        <w:pStyle w:val="ListNumber2"/>
        <w:keepNext/>
        <w:widowControl w:val="0"/>
        <w:spacing w:after="0" w:line="240" w:lineRule="auto"/>
        <w:rPr>
          <w:rFonts w:ascii="Arial" w:eastAsiaTheme="minorHAnsi" w:hAnsi="Arial" w:cs="Arial"/>
          <w:sz w:val="20"/>
          <w:lang w:val="es-ES"/>
        </w:rPr>
      </w:pPr>
    </w:p>
    <w:p w14:paraId="7EA807A0" w14:textId="2A918CEA" w:rsidR="00A24BBD" w:rsidRPr="00A24BBD" w:rsidRDefault="00A24BBD" w:rsidP="001D0F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(v) Una vez se recibe autorización por Banco de Españ</w:t>
      </w:r>
      <w:r w:rsidR="00936F67">
        <w:rPr>
          <w:rFonts w:ascii="Arial" w:hAnsi="Arial" w:cs="Arial"/>
          <w:sz w:val="20"/>
          <w:szCs w:val="20"/>
          <w:lang w:val="es-ES"/>
        </w:rPr>
        <w:t>a/Banco Central Europeo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, se procede al nombramiento del consejero en la Junta General de Accionistas y a la </w:t>
      </w:r>
      <w:r w:rsidR="00D57A8B">
        <w:rPr>
          <w:rFonts w:ascii="Arial" w:hAnsi="Arial" w:cs="Arial"/>
          <w:sz w:val="20"/>
          <w:szCs w:val="20"/>
          <w:lang w:val="es-ES"/>
        </w:rPr>
        <w:t>posterior formalización de dicho nombramiento</w:t>
      </w:r>
      <w:r w:rsidRPr="00A24BBD">
        <w:rPr>
          <w:rFonts w:ascii="Arial" w:hAnsi="Arial" w:cs="Arial"/>
          <w:sz w:val="20"/>
          <w:szCs w:val="20"/>
          <w:lang w:val="es-ES"/>
        </w:rPr>
        <w:t xml:space="preserve"> ante el Registro Mercantil.</w:t>
      </w:r>
    </w:p>
    <w:p w14:paraId="0F39815C" w14:textId="77777777" w:rsidR="001A44E3" w:rsidRDefault="001A44E3" w:rsidP="00A24BBD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</w:p>
    <w:p w14:paraId="2C246031" w14:textId="77777777" w:rsidR="00A24BBD" w:rsidRPr="001E464C" w:rsidRDefault="00A24BBD" w:rsidP="00A24BBD">
      <w:pPr>
        <w:spacing w:line="240" w:lineRule="auto"/>
        <w:jc w:val="both"/>
        <w:rPr>
          <w:rFonts w:ascii="Arial" w:hAnsi="Arial" w:cs="Arial"/>
          <w:b/>
          <w:color w:val="00B0F0"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 xml:space="preserve">II. Incompatibilidades de los </w:t>
      </w:r>
      <w:proofErr w:type="gramStart"/>
      <w:r w:rsidRPr="001E464C">
        <w:rPr>
          <w:rFonts w:ascii="Arial" w:hAnsi="Arial" w:cs="Arial"/>
          <w:b/>
          <w:color w:val="00B0F0"/>
          <w:sz w:val="20"/>
          <w:szCs w:val="20"/>
          <w:lang w:val="es-ES"/>
        </w:rPr>
        <w:t>Consejeros</w:t>
      </w:r>
      <w:proofErr w:type="gramEnd"/>
    </w:p>
    <w:p w14:paraId="0A8B135E" w14:textId="77777777" w:rsidR="00A24BBD" w:rsidRPr="00A24BBD" w:rsidRDefault="00A24BBD" w:rsidP="00A24BBD">
      <w:pPr>
        <w:spacing w:line="240" w:lineRule="auto"/>
        <w:jc w:val="both"/>
        <w:rPr>
          <w:rFonts w:ascii="Arial" w:hAnsi="Arial" w:cs="Arial"/>
          <w:sz w:val="20"/>
          <w:szCs w:val="20"/>
          <w:vertAlign w:val="superscript"/>
          <w:lang w:val="es-ES"/>
        </w:rPr>
      </w:pPr>
      <w:r w:rsidRPr="00A24BBD">
        <w:rPr>
          <w:rFonts w:ascii="Arial" w:hAnsi="Arial" w:cs="Arial"/>
          <w:sz w:val="20"/>
          <w:szCs w:val="20"/>
          <w:lang w:val="es-ES"/>
        </w:rPr>
        <w:t>El Artículo 13 del Reglamento del Consejo detalla cuáles son las incompatibilidades de los consejeros:</w:t>
      </w:r>
    </w:p>
    <w:p w14:paraId="1472AF47" w14:textId="77777777" w:rsidR="00A24BBD" w:rsidRPr="00A24BBD" w:rsidRDefault="00A24BBD" w:rsidP="00A24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“Artículo 13. Nombramiento de </w:t>
      </w:r>
      <w:proofErr w:type="gramStart"/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>Consejeros</w:t>
      </w:r>
      <w:proofErr w:type="gramEnd"/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. </w:t>
      </w:r>
      <w:r w:rsidRPr="00A24BBD">
        <w:rPr>
          <w:rFonts w:ascii="Arial" w:hAnsi="Arial" w:cs="Arial"/>
          <w:bCs/>
          <w:sz w:val="20"/>
          <w:szCs w:val="20"/>
          <w:lang w:val="es-ES"/>
        </w:rPr>
        <w:t>Incompatibilidades.</w:t>
      </w:r>
    </w:p>
    <w:p w14:paraId="0EBAFE21" w14:textId="77777777" w:rsidR="00A24BBD" w:rsidRPr="00A24BBD" w:rsidRDefault="00A24BBD" w:rsidP="00A24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36B3E878" w14:textId="77777777" w:rsidR="00A24BBD" w:rsidRPr="00A24BBD" w:rsidRDefault="00A24BBD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lastRenderedPageBreak/>
        <w:t xml:space="preserve">1. </w:t>
      </w:r>
      <w:r w:rsidRPr="00A24BBD">
        <w:rPr>
          <w:rFonts w:ascii="Arial" w:hAnsi="Arial" w:cs="Arial"/>
          <w:color w:val="000000"/>
          <w:sz w:val="20"/>
          <w:szCs w:val="20"/>
          <w:lang w:val="es-ES"/>
        </w:rPr>
        <w:t xml:space="preserve">Los </w:t>
      </w:r>
      <w:proofErr w:type="gramStart"/>
      <w:r w:rsidRPr="00A24BBD">
        <w:rPr>
          <w:rFonts w:ascii="Arial" w:hAnsi="Arial" w:cs="Arial"/>
          <w:color w:val="000000"/>
          <w:sz w:val="20"/>
          <w:szCs w:val="20"/>
          <w:lang w:val="es-ES"/>
        </w:rPr>
        <w:t>Consejeros</w:t>
      </w:r>
      <w:proofErr w:type="gramEnd"/>
      <w:r w:rsidRPr="00A24BBD">
        <w:rPr>
          <w:rFonts w:ascii="Arial" w:hAnsi="Arial" w:cs="Arial"/>
          <w:color w:val="000000"/>
          <w:sz w:val="20"/>
          <w:szCs w:val="20"/>
          <w:lang w:val="es-ES"/>
        </w:rPr>
        <w:t xml:space="preserve"> serán nombrados por la Junta General de Accionistas o, en su caso y cuando se cumplan los requisitos establecidos en la normativa y en los Estatutos Sociales para el nombramiento por cooptación, por el propio Consejo de Administración.</w:t>
      </w:r>
    </w:p>
    <w:p w14:paraId="2EEA0B14" w14:textId="77777777" w:rsidR="00A24BBD" w:rsidRPr="00A24BBD" w:rsidRDefault="00A24BBD" w:rsidP="00A24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3B7BCAE" w14:textId="77777777" w:rsidR="00A24BBD" w:rsidRPr="00A24BBD" w:rsidRDefault="00A24BBD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2. </w:t>
      </w:r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No podrán ser designados </w:t>
      </w:r>
      <w:proofErr w:type="gramStart"/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>Consejeros</w:t>
      </w:r>
      <w:proofErr w:type="gramEnd"/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ni, en su caso, representantes personas físicas de un Consejero persona jurídica:</w:t>
      </w:r>
    </w:p>
    <w:p w14:paraId="1ACE44D1" w14:textId="77777777" w:rsidR="00A24BBD" w:rsidRPr="00A24BBD" w:rsidRDefault="00A24BBD" w:rsidP="00A24B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/>
        </w:rPr>
      </w:pPr>
    </w:p>
    <w:p w14:paraId="7632C516" w14:textId="77777777" w:rsidR="00A24BBD" w:rsidRPr="00A24BBD" w:rsidRDefault="00A24BBD" w:rsidP="00A24B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 las personas físicas o jurídicas que se encuentren en un supuesto de incompatibilidad de los previstos en al artículo 26 de la Ley de Ordenación, Supervisión y Solvencia de entidades de crédito o precepto que lo sustituya;</w:t>
      </w:r>
    </w:p>
    <w:p w14:paraId="14BFE1EB" w14:textId="77777777" w:rsidR="00A24BBD" w:rsidRPr="00A24BBD" w:rsidRDefault="00A24BBD" w:rsidP="00A24BBD">
      <w:pPr>
        <w:pStyle w:val="ListParagraph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s-ES"/>
        </w:rPr>
      </w:pPr>
    </w:p>
    <w:p w14:paraId="204AB0D7" w14:textId="77777777" w:rsidR="00A24BBD" w:rsidRPr="001E464C" w:rsidRDefault="00A24BBD" w:rsidP="001E464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las personas físicas o jurídicas que se encuentren incursas en cualquier otro supuesto de incompatibilidad o prohibición regulado en la normativa (interna o externa) aplicable al Banco y, </w:t>
      </w:r>
      <w:r w:rsidRPr="001E464C">
        <w:rPr>
          <w:rFonts w:ascii="Arial" w:hAnsi="Arial" w:cs="Arial"/>
          <w:bCs/>
          <w:color w:val="000000"/>
          <w:sz w:val="20"/>
          <w:szCs w:val="20"/>
          <w:lang w:val="es-ES"/>
        </w:rPr>
        <w:t xml:space="preserve">en especial, aquellas que hayan sido consideradas no idóneas conforme al </w:t>
      </w:r>
      <w:r w:rsidRPr="001E464C">
        <w:rPr>
          <w:rFonts w:ascii="Arial" w:hAnsi="Arial" w:cs="Arial"/>
          <w:sz w:val="20"/>
          <w:szCs w:val="20"/>
          <w:lang w:val="es-ES"/>
        </w:rPr>
        <w:t xml:space="preserve">Manual de Procedimiento de Evaluación de Idoneidad de </w:t>
      </w:r>
      <w:proofErr w:type="gramStart"/>
      <w:r w:rsidRPr="001E464C">
        <w:rPr>
          <w:rFonts w:ascii="Arial" w:hAnsi="Arial" w:cs="Arial"/>
          <w:sz w:val="20"/>
          <w:szCs w:val="20"/>
          <w:lang w:val="es-ES"/>
        </w:rPr>
        <w:t>Consejeros</w:t>
      </w:r>
      <w:proofErr w:type="gramEnd"/>
      <w:r w:rsidRPr="001E464C">
        <w:rPr>
          <w:rFonts w:ascii="Arial" w:hAnsi="Arial" w:cs="Arial"/>
          <w:sz w:val="20"/>
          <w:szCs w:val="20"/>
          <w:lang w:val="es-ES"/>
        </w:rPr>
        <w:t xml:space="preserve"> y Personal Clave del Banco</w:t>
      </w:r>
      <w:r w:rsidRPr="001E464C">
        <w:rPr>
          <w:rFonts w:ascii="Arial" w:hAnsi="Arial" w:cs="Arial"/>
          <w:bCs/>
          <w:color w:val="000000"/>
          <w:sz w:val="20"/>
          <w:szCs w:val="20"/>
          <w:lang w:val="es-ES"/>
        </w:rPr>
        <w:t>.</w:t>
      </w:r>
    </w:p>
    <w:p w14:paraId="6C6EF1FB" w14:textId="77777777" w:rsidR="00A24BBD" w:rsidRPr="00A24BBD" w:rsidRDefault="00A24BBD" w:rsidP="00A24B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s-ES"/>
        </w:rPr>
      </w:pPr>
    </w:p>
    <w:p w14:paraId="77462E21" w14:textId="1FB2B260" w:rsidR="00A24BBD" w:rsidRDefault="00A24BBD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24BBD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3. </w:t>
      </w:r>
      <w:r w:rsidRPr="00A24BBD">
        <w:rPr>
          <w:rFonts w:ascii="Arial" w:hAnsi="Arial" w:cs="Arial"/>
          <w:color w:val="000000"/>
          <w:sz w:val="20"/>
          <w:szCs w:val="20"/>
          <w:lang w:val="es-ES"/>
        </w:rPr>
        <w:t xml:space="preserve">Las propuestas de nombramiento y reelección de Consejeros que someta el Consejo de Administración a la consideración de la Junta General y las decisiones de nombramiento que adopte dicho órgano en virtud de las facultades de cooptación que tiene legalmente atribuidas deberán recaer en personas que, además de cumplir los requisitos legales y estatutarios que el cargo exige, gocen de la idoneidad, conocimiento y experiencia y disposición de ejercer un buen gobierno exigidas por la normativa aplicable y por el </w:t>
      </w:r>
      <w:r w:rsidRPr="00A24BBD">
        <w:rPr>
          <w:rFonts w:ascii="Arial" w:hAnsi="Arial" w:cs="Arial"/>
          <w:sz w:val="20"/>
          <w:szCs w:val="20"/>
          <w:lang w:val="es-ES"/>
        </w:rPr>
        <w:t>Manual de Procedimiento de Evaluación de Idoneidad de Consejeros y Personal Clave del Banco</w:t>
      </w:r>
      <w:r w:rsidRPr="00A24BBD">
        <w:rPr>
          <w:rFonts w:ascii="Arial" w:hAnsi="Arial" w:cs="Arial"/>
          <w:color w:val="000000"/>
          <w:sz w:val="20"/>
          <w:szCs w:val="20"/>
          <w:lang w:val="es-ES"/>
        </w:rPr>
        <w:t xml:space="preserve"> quedando estos extremos documentados en el informe emitido a tal efecto por el Comité de Nombramientos y Remuneraciones de la entidad”.</w:t>
      </w:r>
    </w:p>
    <w:p w14:paraId="2571D99B" w14:textId="5F727EE0" w:rsidR="00CE37D0" w:rsidRDefault="00CE37D0">
      <w:pPr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br w:type="page"/>
      </w:r>
    </w:p>
    <w:p w14:paraId="467A3E1A" w14:textId="77777777" w:rsidR="00BB57D4" w:rsidRDefault="00BB57D4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6FE6AB1" w14:textId="094FE1B2" w:rsidR="00BB57D4" w:rsidRDefault="00BB57D4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B375CF5" w14:textId="521F44AE" w:rsidR="00BB57D4" w:rsidRDefault="00BB57D4" w:rsidP="00BB57D4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>C</w:t>
      </w:r>
      <w:r>
        <w:rPr>
          <w:rFonts w:ascii="Arial" w:hAnsi="Arial" w:cs="Arial"/>
          <w:b/>
          <w:color w:val="00B0F0"/>
          <w:sz w:val="24"/>
          <w:szCs w:val="20"/>
          <w:lang w:val="es-ES"/>
        </w:rPr>
        <w:t>omisiones delegadas del C</w:t>
      </w: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>o</w:t>
      </w:r>
      <w:r>
        <w:rPr>
          <w:rFonts w:ascii="Arial" w:hAnsi="Arial" w:cs="Arial"/>
          <w:b/>
          <w:color w:val="00B0F0"/>
          <w:sz w:val="24"/>
          <w:szCs w:val="20"/>
          <w:lang w:val="es-ES"/>
        </w:rPr>
        <w:t>nsejo</w:t>
      </w: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 xml:space="preserve"> de Administración de Deutsche Bank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1E464C">
        <w:rPr>
          <w:rFonts w:ascii="Arial" w:hAnsi="Arial" w:cs="Arial"/>
          <w:b/>
          <w:color w:val="00B0F0"/>
          <w:sz w:val="24"/>
          <w:szCs w:val="20"/>
          <w:lang w:val="es-ES"/>
        </w:rPr>
        <w:t>SA</w:t>
      </w:r>
      <w:r w:rsidR="008A1ABB">
        <w:rPr>
          <w:rFonts w:ascii="Arial" w:hAnsi="Arial" w:cs="Arial"/>
          <w:b/>
          <w:color w:val="00B0F0"/>
          <w:sz w:val="24"/>
          <w:szCs w:val="20"/>
          <w:lang w:val="es-ES"/>
        </w:rPr>
        <w:t>EU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58921186" w14:textId="77777777" w:rsidR="00BB57D4" w:rsidRDefault="00BB57D4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A64A33E" w14:textId="77777777" w:rsidR="0008336F" w:rsidRDefault="0008336F" w:rsidP="00A24B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tbl>
      <w:tblPr>
        <w:tblStyle w:val="LightList-Accent11"/>
        <w:tblW w:w="9220" w:type="dxa"/>
        <w:jc w:val="center"/>
        <w:tblLook w:val="0420" w:firstRow="1" w:lastRow="0" w:firstColumn="0" w:lastColumn="0" w:noHBand="0" w:noVBand="1"/>
      </w:tblPr>
      <w:tblGrid>
        <w:gridCol w:w="4587"/>
        <w:gridCol w:w="1484"/>
        <w:gridCol w:w="3149"/>
      </w:tblGrid>
      <w:tr w:rsidR="00BB57D4" w:rsidRPr="00A24BBD" w14:paraId="2E44D3AA" w14:textId="77777777" w:rsidTr="0064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220" w:type="dxa"/>
            <w:gridSpan w:val="3"/>
            <w:vAlign w:val="center"/>
          </w:tcPr>
          <w:p w14:paraId="5F7B7830" w14:textId="77777777" w:rsidR="00BB57D4" w:rsidRDefault="00BB57D4" w:rsidP="009F00C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  <w:p w14:paraId="7932D5E6" w14:textId="1EBEA381" w:rsidR="00BB57D4" w:rsidRPr="00A24BBD" w:rsidRDefault="00BB57D4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Comisión de Auditoría</w:t>
            </w:r>
          </w:p>
        </w:tc>
      </w:tr>
      <w:tr w:rsidR="00BB57D4" w:rsidRPr="00153A05" w14:paraId="39CBC50A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center"/>
          </w:tcPr>
          <w:p w14:paraId="38ACD1F9" w14:textId="77777777" w:rsidR="00BB57D4" w:rsidRPr="00926FAF" w:rsidRDefault="00BB57D4" w:rsidP="009F00CC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consejero</w:t>
            </w:r>
          </w:p>
        </w:tc>
        <w:tc>
          <w:tcPr>
            <w:tcW w:w="1484" w:type="dxa"/>
            <w:vAlign w:val="center"/>
          </w:tcPr>
          <w:p w14:paraId="59000B4E" w14:textId="77777777" w:rsidR="00BB57D4" w:rsidRPr="00926FAF" w:rsidRDefault="00BB57D4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de consejero</w:t>
            </w:r>
          </w:p>
        </w:tc>
        <w:tc>
          <w:tcPr>
            <w:tcW w:w="3149" w:type="dxa"/>
            <w:vAlign w:val="center"/>
          </w:tcPr>
          <w:p w14:paraId="71BEA4F8" w14:textId="77777777" w:rsidR="00BB57D4" w:rsidRPr="00926FAF" w:rsidRDefault="00BB57D4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Última fecha de nombramiento</w:t>
            </w:r>
          </w:p>
        </w:tc>
      </w:tr>
      <w:tr w:rsidR="00BB57D4" w:rsidRPr="00153A05" w14:paraId="56842E79" w14:textId="77777777" w:rsidTr="009F00CC">
        <w:trPr>
          <w:jc w:val="center"/>
        </w:trPr>
        <w:tc>
          <w:tcPr>
            <w:tcW w:w="4587" w:type="dxa"/>
            <w:vAlign w:val="bottom"/>
          </w:tcPr>
          <w:p w14:paraId="5DC32C93" w14:textId="218BAE5B" w:rsidR="00BB57D4" w:rsidRPr="00153A05" w:rsidRDefault="00D10420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Sonsoles Seoane García</w:t>
            </w:r>
            <w:r w:rsidR="00BB57D4" w:rsidRPr="00153A0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gramStart"/>
            <w:r w:rsidR="00BB57D4" w:rsidRPr="00153A05">
              <w:rPr>
                <w:rFonts w:ascii="Arial" w:hAnsi="Arial" w:cs="Arial"/>
                <w:sz w:val="20"/>
                <w:szCs w:val="20"/>
                <w:lang w:val="es-ES"/>
              </w:rPr>
              <w:t>Presidente</w:t>
            </w:r>
            <w:proofErr w:type="gramEnd"/>
            <w:r w:rsidR="00BB57D4" w:rsidRPr="00153A05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2391EF3A" w14:textId="77777777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30934629" w14:textId="2A52B552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1CF74E51" w14:textId="11E71C13" w:rsidR="00BB57D4" w:rsidRPr="00153A05" w:rsidRDefault="00D10420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BB57D4" w:rsidRPr="00153A05" w14:paraId="2318A7E6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bottom"/>
          </w:tcPr>
          <w:p w14:paraId="1F326834" w14:textId="5CC998F3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</w:rPr>
            </w:pPr>
            <w:r w:rsidRPr="00153A05">
              <w:rPr>
                <w:rFonts w:ascii="Arial" w:hAnsi="Arial" w:cs="Arial"/>
                <w:sz w:val="20"/>
                <w:szCs w:val="20"/>
              </w:rPr>
              <w:t>Miriam González-</w:t>
            </w:r>
            <w:proofErr w:type="spellStart"/>
            <w:r w:rsidRPr="00153A05">
              <w:rPr>
                <w:rFonts w:ascii="Arial" w:hAnsi="Arial" w:cs="Arial"/>
                <w:sz w:val="20"/>
                <w:szCs w:val="20"/>
              </w:rPr>
              <w:t>Amézqueta</w:t>
            </w:r>
            <w:proofErr w:type="spellEnd"/>
            <w:r w:rsidRPr="00153A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420">
              <w:rPr>
                <w:rFonts w:ascii="Arial" w:hAnsi="Arial" w:cs="Arial"/>
                <w:sz w:val="20"/>
                <w:szCs w:val="20"/>
              </w:rPr>
              <w:t>López</w:t>
            </w:r>
          </w:p>
          <w:p w14:paraId="67E208F2" w14:textId="3342A7F6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57E285E" w14:textId="15662622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33DF930A" w14:textId="3E1A1A91" w:rsidR="00BB57D4" w:rsidRPr="00153A05" w:rsidRDefault="00BB57D4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</w:rPr>
              <w:t>19.02.202</w:t>
            </w:r>
            <w:r w:rsidR="00153A05" w:rsidRPr="00153A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57D4" w:rsidRPr="00153A05" w14:paraId="50D747C9" w14:textId="77777777" w:rsidTr="00BB57D4">
        <w:trPr>
          <w:trHeight w:val="107"/>
          <w:jc w:val="center"/>
        </w:trPr>
        <w:tc>
          <w:tcPr>
            <w:tcW w:w="4587" w:type="dxa"/>
            <w:vAlign w:val="bottom"/>
          </w:tcPr>
          <w:p w14:paraId="33AC56C7" w14:textId="1E806E91" w:rsidR="00BB57D4" w:rsidRPr="00DE79E9" w:rsidRDefault="00DE79E9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Jasmine Ray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(Mathews)</w:t>
            </w:r>
          </w:p>
          <w:p w14:paraId="576C54BD" w14:textId="0CB5C0A6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71FBC374" w14:textId="1503D955" w:rsidR="00BB57D4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62862F73" w14:textId="71A48A50" w:rsidR="00BB57D4" w:rsidRPr="00153A05" w:rsidRDefault="00DE79E9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16.02.2023</w:t>
            </w:r>
          </w:p>
        </w:tc>
      </w:tr>
    </w:tbl>
    <w:p w14:paraId="691FB510" w14:textId="77777777" w:rsidR="00F2190B" w:rsidRDefault="00F2190B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2735B6F" w14:textId="3CA5DEA4" w:rsidR="00F03E85" w:rsidRDefault="00F2190B">
      <w:pPr>
        <w:rPr>
          <w:rFonts w:ascii="Arial" w:hAnsi="Arial" w:cs="Arial"/>
          <w:bCs/>
          <w:sz w:val="20"/>
          <w:szCs w:val="20"/>
          <w:lang w:val="es-ES"/>
        </w:rPr>
      </w:pPr>
      <w:r w:rsidRPr="00F2190B">
        <w:rPr>
          <w:rFonts w:ascii="Arial" w:hAnsi="Arial" w:cs="Arial"/>
          <w:bCs/>
          <w:sz w:val="20"/>
          <w:szCs w:val="20"/>
          <w:lang w:val="es-ES"/>
        </w:rPr>
        <w:t>Funciones</w:t>
      </w:r>
      <w:r>
        <w:rPr>
          <w:rFonts w:ascii="Arial" w:hAnsi="Arial" w:cs="Arial"/>
          <w:bCs/>
          <w:sz w:val="20"/>
          <w:szCs w:val="20"/>
          <w:lang w:val="es-ES"/>
        </w:rPr>
        <w:t>: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Art. 34 y siguientes de los Estatutos y </w:t>
      </w:r>
      <w:r w:rsidR="003F2192">
        <w:rPr>
          <w:rFonts w:ascii="Arial" w:hAnsi="Arial" w:cs="Arial"/>
          <w:bCs/>
          <w:sz w:val="20"/>
          <w:szCs w:val="20"/>
          <w:lang w:val="es-ES"/>
        </w:rPr>
        <w:t>22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del Reglamento del Consejo</w:t>
      </w:r>
    </w:p>
    <w:p w14:paraId="31A98BAB" w14:textId="77777777" w:rsidR="00F2190B" w:rsidRPr="00F2190B" w:rsidRDefault="00F2190B">
      <w:pPr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Style w:val="LightList-Accent11"/>
        <w:tblW w:w="9220" w:type="dxa"/>
        <w:jc w:val="center"/>
        <w:tblLook w:val="0420" w:firstRow="1" w:lastRow="0" w:firstColumn="0" w:lastColumn="0" w:noHBand="0" w:noVBand="1"/>
      </w:tblPr>
      <w:tblGrid>
        <w:gridCol w:w="4587"/>
        <w:gridCol w:w="1484"/>
        <w:gridCol w:w="3149"/>
      </w:tblGrid>
      <w:tr w:rsidR="00BB57D4" w:rsidRPr="00153A05" w14:paraId="77129166" w14:textId="77777777" w:rsidTr="009F0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220" w:type="dxa"/>
            <w:gridSpan w:val="3"/>
            <w:vAlign w:val="center"/>
          </w:tcPr>
          <w:p w14:paraId="504074B1" w14:textId="77777777" w:rsidR="00BB57D4" w:rsidRPr="00153A05" w:rsidRDefault="00BB57D4" w:rsidP="009F00C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  <w:p w14:paraId="53C992D3" w14:textId="7F8833C2" w:rsidR="00BB57D4" w:rsidRPr="00153A05" w:rsidRDefault="00BB57D4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Comisión de Riesgos</w:t>
            </w:r>
          </w:p>
        </w:tc>
      </w:tr>
      <w:tr w:rsidR="00BB57D4" w:rsidRPr="00153A05" w14:paraId="3CFF5DE3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center"/>
          </w:tcPr>
          <w:p w14:paraId="1E60F3B6" w14:textId="77777777" w:rsidR="00BB57D4" w:rsidRPr="00926FAF" w:rsidRDefault="00BB57D4" w:rsidP="009F00CC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consejero</w:t>
            </w:r>
          </w:p>
        </w:tc>
        <w:tc>
          <w:tcPr>
            <w:tcW w:w="1484" w:type="dxa"/>
            <w:vAlign w:val="center"/>
          </w:tcPr>
          <w:p w14:paraId="08725820" w14:textId="77777777" w:rsidR="00BB57D4" w:rsidRPr="00926FAF" w:rsidRDefault="00BB57D4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de consejero</w:t>
            </w:r>
          </w:p>
        </w:tc>
        <w:tc>
          <w:tcPr>
            <w:tcW w:w="3149" w:type="dxa"/>
            <w:vAlign w:val="center"/>
          </w:tcPr>
          <w:p w14:paraId="25AB7049" w14:textId="77777777" w:rsidR="00BB57D4" w:rsidRPr="00926FAF" w:rsidRDefault="00BB57D4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Última fecha de nombramiento</w:t>
            </w:r>
          </w:p>
        </w:tc>
      </w:tr>
      <w:tr w:rsidR="00BB57D4" w:rsidRPr="00153A05" w14:paraId="02787BBC" w14:textId="77777777" w:rsidTr="009F00CC">
        <w:trPr>
          <w:jc w:val="center"/>
        </w:trPr>
        <w:tc>
          <w:tcPr>
            <w:tcW w:w="4587" w:type="dxa"/>
            <w:vAlign w:val="bottom"/>
          </w:tcPr>
          <w:p w14:paraId="49688512" w14:textId="129FA216" w:rsidR="00BB57D4" w:rsidRPr="00153A05" w:rsidRDefault="00BB57D4" w:rsidP="00BB57D4">
            <w:pPr>
              <w:rPr>
                <w:rFonts w:ascii="Arial" w:hAnsi="Arial" w:cs="Arial"/>
                <w:sz w:val="20"/>
                <w:szCs w:val="20"/>
              </w:rPr>
            </w:pPr>
            <w:r w:rsidRPr="00153A05">
              <w:rPr>
                <w:rFonts w:ascii="Arial" w:hAnsi="Arial" w:cs="Arial"/>
                <w:sz w:val="20"/>
                <w:szCs w:val="20"/>
              </w:rPr>
              <w:t>Miriam González-</w:t>
            </w:r>
            <w:proofErr w:type="spellStart"/>
            <w:r w:rsidRPr="00153A05">
              <w:rPr>
                <w:rFonts w:ascii="Arial" w:hAnsi="Arial" w:cs="Arial"/>
                <w:sz w:val="20"/>
                <w:szCs w:val="20"/>
              </w:rPr>
              <w:t>Amézqueta</w:t>
            </w:r>
            <w:proofErr w:type="spellEnd"/>
            <w:r w:rsidRPr="00153A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53A05">
              <w:rPr>
                <w:rFonts w:ascii="Arial" w:hAnsi="Arial" w:cs="Arial"/>
                <w:sz w:val="20"/>
                <w:szCs w:val="20"/>
              </w:rPr>
              <w:t>Presidente</w:t>
            </w:r>
            <w:proofErr w:type="spellEnd"/>
            <w:r w:rsidRPr="00153A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E05CA8" w14:textId="77777777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34F7258" w14:textId="77777777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79E28796" w14:textId="2BDC0037" w:rsidR="00BB57D4" w:rsidRPr="00153A05" w:rsidRDefault="00BB57D4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</w:rPr>
              <w:t>19.02.202</w:t>
            </w:r>
            <w:r w:rsidR="00153A05" w:rsidRPr="00153A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B57D4" w:rsidRPr="00153A05" w14:paraId="68AC5B68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bottom"/>
          </w:tcPr>
          <w:p w14:paraId="16D916E3" w14:textId="77777777" w:rsidR="00BB57D4" w:rsidRDefault="001A5F9C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Sonsoles Seoane García</w:t>
            </w: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068ABEB" w14:textId="37FA4295" w:rsidR="001A5F9C" w:rsidRPr="00153A05" w:rsidRDefault="001A5F9C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3A9827E5" w14:textId="77777777" w:rsidR="00BB57D4" w:rsidRPr="00153A05" w:rsidRDefault="00BB57D4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7A3F47A4" w14:textId="0CFE68F1" w:rsidR="00BB57D4" w:rsidRPr="00153A05" w:rsidRDefault="001A5F9C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BB57D4" w:rsidRPr="00153A05" w14:paraId="4882ECC8" w14:textId="77777777" w:rsidTr="009F00CC">
        <w:trPr>
          <w:trHeight w:val="107"/>
          <w:jc w:val="center"/>
        </w:trPr>
        <w:tc>
          <w:tcPr>
            <w:tcW w:w="4587" w:type="dxa"/>
            <w:vAlign w:val="bottom"/>
          </w:tcPr>
          <w:p w14:paraId="325BF43E" w14:textId="77777777" w:rsidR="00BB57D4" w:rsidRDefault="00153A05" w:rsidP="009F00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n-GB"/>
              </w:rPr>
              <w:t>Christian Nolting</w:t>
            </w:r>
          </w:p>
          <w:p w14:paraId="373B964C" w14:textId="0501D52E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0401C292" w14:textId="38AB226B" w:rsidR="00BB57D4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5292102A" w14:textId="1F1915CD" w:rsidR="00BB57D4" w:rsidRPr="00153A05" w:rsidRDefault="00153A05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20.10.2021</w:t>
            </w:r>
          </w:p>
        </w:tc>
      </w:tr>
      <w:tr w:rsidR="0003109A" w:rsidRPr="00153A05" w14:paraId="54678233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  <w:jc w:val="center"/>
        </w:trPr>
        <w:tc>
          <w:tcPr>
            <w:tcW w:w="4587" w:type="dxa"/>
            <w:vAlign w:val="bottom"/>
          </w:tcPr>
          <w:p w14:paraId="07122014" w14:textId="77777777" w:rsidR="0003109A" w:rsidRDefault="0003109A" w:rsidP="000310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Morley </w:t>
            </w:r>
          </w:p>
          <w:p w14:paraId="250794B2" w14:textId="21FAD3A4" w:rsidR="0003109A" w:rsidRPr="00153A05" w:rsidRDefault="0003109A" w:rsidP="000310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4" w:type="dxa"/>
          </w:tcPr>
          <w:p w14:paraId="5D654F4B" w14:textId="77777777" w:rsidR="0003109A" w:rsidRDefault="0003109A" w:rsidP="0003109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  <w:p w14:paraId="2EE042F0" w14:textId="129FDAA6" w:rsidR="0003109A" w:rsidRPr="00153A05" w:rsidRDefault="0003109A" w:rsidP="0003109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“otro externo”</w:t>
            </w:r>
          </w:p>
        </w:tc>
        <w:tc>
          <w:tcPr>
            <w:tcW w:w="3149" w:type="dxa"/>
          </w:tcPr>
          <w:p w14:paraId="6C74B598" w14:textId="5FCE178C" w:rsidR="0003109A" w:rsidRPr="00153A05" w:rsidRDefault="0003109A" w:rsidP="0003109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29.09.2022</w:t>
            </w:r>
          </w:p>
        </w:tc>
      </w:tr>
    </w:tbl>
    <w:p w14:paraId="3E878911" w14:textId="3BF259E8" w:rsidR="004C3AED" w:rsidRDefault="004C3AED">
      <w:pPr>
        <w:rPr>
          <w:lang w:val="es-ES"/>
        </w:rPr>
      </w:pPr>
    </w:p>
    <w:p w14:paraId="66D50C89" w14:textId="5A52B3ED" w:rsidR="00F2190B" w:rsidRPr="00C14ECA" w:rsidRDefault="00F2190B" w:rsidP="00F2190B">
      <w:pPr>
        <w:rPr>
          <w:rFonts w:ascii="Arial" w:hAnsi="Arial" w:cs="Arial"/>
          <w:bCs/>
          <w:sz w:val="20"/>
          <w:szCs w:val="20"/>
          <w:lang w:val="es-ES"/>
        </w:rPr>
      </w:pPr>
      <w:r w:rsidRPr="00C14ECA">
        <w:rPr>
          <w:rFonts w:ascii="Arial" w:hAnsi="Arial" w:cs="Arial"/>
          <w:bCs/>
          <w:sz w:val="20"/>
          <w:szCs w:val="20"/>
          <w:lang w:val="es-ES"/>
        </w:rPr>
        <w:t>Funciones:</w:t>
      </w:r>
      <w:r w:rsidR="00C14ECA" w:rsidRPr="00C14ECA">
        <w:rPr>
          <w:rFonts w:ascii="Arial" w:hAnsi="Arial" w:cs="Arial"/>
          <w:bCs/>
          <w:sz w:val="20"/>
          <w:szCs w:val="20"/>
          <w:lang w:val="es-ES"/>
        </w:rPr>
        <w:t xml:space="preserve"> Art. 40 y siguientes de los Estatutos y </w:t>
      </w:r>
      <w:r w:rsidR="003F2192">
        <w:rPr>
          <w:rFonts w:ascii="Arial" w:hAnsi="Arial" w:cs="Arial"/>
          <w:bCs/>
          <w:sz w:val="20"/>
          <w:szCs w:val="20"/>
          <w:lang w:val="es-ES"/>
        </w:rPr>
        <w:t>23</w:t>
      </w:r>
      <w:r w:rsidR="00C14ECA" w:rsidRPr="00C14ECA">
        <w:rPr>
          <w:rFonts w:ascii="Arial" w:hAnsi="Arial" w:cs="Arial"/>
          <w:bCs/>
          <w:sz w:val="20"/>
          <w:szCs w:val="20"/>
          <w:lang w:val="es-ES"/>
        </w:rPr>
        <w:t xml:space="preserve"> del Reglamento del Consejo </w:t>
      </w:r>
    </w:p>
    <w:p w14:paraId="5B6FE4CF" w14:textId="593E776C" w:rsidR="00F2190B" w:rsidRPr="00C14ECA" w:rsidRDefault="00F2190B">
      <w:pPr>
        <w:rPr>
          <w:rFonts w:ascii="Arial" w:hAnsi="Arial" w:cs="Arial"/>
          <w:bCs/>
          <w:sz w:val="20"/>
          <w:szCs w:val="20"/>
          <w:lang w:val="es-ES"/>
        </w:rPr>
      </w:pPr>
      <w:r w:rsidRPr="00C14ECA">
        <w:rPr>
          <w:rFonts w:ascii="Arial" w:hAnsi="Arial" w:cs="Arial"/>
          <w:bCs/>
          <w:sz w:val="20"/>
          <w:szCs w:val="20"/>
          <w:lang w:val="es-ES"/>
        </w:rPr>
        <w:t>CRO: D. Marc Cisneros</w:t>
      </w:r>
    </w:p>
    <w:p w14:paraId="4320A77E" w14:textId="505FE448" w:rsidR="00153A05" w:rsidRDefault="00153A05">
      <w:pPr>
        <w:rPr>
          <w:lang w:val="es-ES"/>
        </w:rPr>
      </w:pPr>
    </w:p>
    <w:p w14:paraId="09C5763D" w14:textId="7755B64F" w:rsidR="00F2190B" w:rsidRDefault="00F2190B">
      <w:pPr>
        <w:rPr>
          <w:lang w:val="es-ES"/>
        </w:rPr>
      </w:pPr>
    </w:p>
    <w:p w14:paraId="2E3FDEB9" w14:textId="635039F2" w:rsidR="00F2190B" w:rsidRDefault="00F2190B">
      <w:pPr>
        <w:rPr>
          <w:lang w:val="es-ES"/>
        </w:rPr>
      </w:pPr>
    </w:p>
    <w:p w14:paraId="17CBD17B" w14:textId="013029FD" w:rsidR="00F2190B" w:rsidRDefault="00F2190B">
      <w:pPr>
        <w:rPr>
          <w:lang w:val="es-ES"/>
        </w:rPr>
      </w:pPr>
    </w:p>
    <w:p w14:paraId="2FC77B45" w14:textId="12D0CDED" w:rsidR="00F2190B" w:rsidRDefault="00F2190B">
      <w:pPr>
        <w:rPr>
          <w:lang w:val="es-ES"/>
        </w:rPr>
      </w:pPr>
    </w:p>
    <w:p w14:paraId="6F78C37D" w14:textId="06F0986C" w:rsidR="00F2190B" w:rsidRDefault="00F2190B">
      <w:pPr>
        <w:rPr>
          <w:lang w:val="es-ES"/>
        </w:rPr>
      </w:pPr>
    </w:p>
    <w:p w14:paraId="571428CC" w14:textId="77777777" w:rsidR="00F2190B" w:rsidRDefault="00F2190B">
      <w:pPr>
        <w:rPr>
          <w:lang w:val="es-ES"/>
        </w:rPr>
      </w:pPr>
    </w:p>
    <w:tbl>
      <w:tblPr>
        <w:tblStyle w:val="LightList-Accent11"/>
        <w:tblW w:w="9220" w:type="dxa"/>
        <w:jc w:val="center"/>
        <w:tblLook w:val="0420" w:firstRow="1" w:lastRow="0" w:firstColumn="0" w:lastColumn="0" w:noHBand="0" w:noVBand="1"/>
      </w:tblPr>
      <w:tblGrid>
        <w:gridCol w:w="4587"/>
        <w:gridCol w:w="1484"/>
        <w:gridCol w:w="3149"/>
      </w:tblGrid>
      <w:tr w:rsidR="00153A05" w:rsidRPr="00A24BBD" w14:paraId="5E912C6C" w14:textId="77777777" w:rsidTr="009F0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220" w:type="dxa"/>
            <w:gridSpan w:val="3"/>
            <w:vAlign w:val="center"/>
          </w:tcPr>
          <w:p w14:paraId="444970FB" w14:textId="77777777" w:rsidR="00153A05" w:rsidRDefault="00153A05" w:rsidP="009F00C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  <w:p w14:paraId="5080217A" w14:textId="2B383D47" w:rsidR="00153A05" w:rsidRPr="00A24BBD" w:rsidRDefault="00153A05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Comisión de Nombramientos</w:t>
            </w:r>
          </w:p>
        </w:tc>
      </w:tr>
      <w:tr w:rsidR="00153A05" w:rsidRPr="00153A05" w14:paraId="1F2D3D7B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center"/>
          </w:tcPr>
          <w:p w14:paraId="026202AE" w14:textId="77777777" w:rsidR="00153A05" w:rsidRPr="00926FAF" w:rsidRDefault="00153A05" w:rsidP="009F00CC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consejero</w:t>
            </w:r>
          </w:p>
        </w:tc>
        <w:tc>
          <w:tcPr>
            <w:tcW w:w="1484" w:type="dxa"/>
            <w:vAlign w:val="center"/>
          </w:tcPr>
          <w:p w14:paraId="050D7FB7" w14:textId="77777777" w:rsidR="00153A05" w:rsidRPr="00926FAF" w:rsidRDefault="00153A05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de consejero</w:t>
            </w:r>
          </w:p>
        </w:tc>
        <w:tc>
          <w:tcPr>
            <w:tcW w:w="3149" w:type="dxa"/>
            <w:vAlign w:val="center"/>
          </w:tcPr>
          <w:p w14:paraId="71E9534A" w14:textId="77777777" w:rsidR="00153A05" w:rsidRPr="00926FAF" w:rsidRDefault="00153A05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Última fecha de nombramiento</w:t>
            </w:r>
          </w:p>
        </w:tc>
      </w:tr>
      <w:tr w:rsidR="00153A05" w:rsidRPr="00153A05" w14:paraId="34B31E3C" w14:textId="77777777" w:rsidTr="009F00CC">
        <w:trPr>
          <w:jc w:val="center"/>
        </w:trPr>
        <w:tc>
          <w:tcPr>
            <w:tcW w:w="4587" w:type="dxa"/>
            <w:vAlign w:val="bottom"/>
          </w:tcPr>
          <w:p w14:paraId="58DC26F5" w14:textId="77777777" w:rsidR="00153A05" w:rsidRDefault="00157A71" w:rsidP="00157A7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Sonsoles Seoane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s-ES"/>
              </w:rPr>
              <w:t>García</w:t>
            </w: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 xml:space="preserve">  (</w:t>
            </w:r>
            <w:proofErr w:type="gramEnd"/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Presidente)</w:t>
            </w:r>
          </w:p>
          <w:p w14:paraId="77A039B4" w14:textId="2AE61C65" w:rsidR="00157A71" w:rsidRPr="00153A05" w:rsidRDefault="00157A71" w:rsidP="00157A7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58D29890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2233B4FD" w14:textId="028B15E1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153A05" w:rsidRPr="00153A05" w14:paraId="122D90A4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bottom"/>
          </w:tcPr>
          <w:p w14:paraId="7E4E17F3" w14:textId="77777777" w:rsidR="00153A05" w:rsidRDefault="00157A71" w:rsidP="00153A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Miriam González-Amézqueta</w:t>
            </w:r>
          </w:p>
          <w:p w14:paraId="2E28FA83" w14:textId="10CF5DCC" w:rsidR="00157A71" w:rsidRPr="00153A05" w:rsidRDefault="00157A71" w:rsidP="00153A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751F3899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49CB2A96" w14:textId="34D950A4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153A05" w:rsidRPr="00153A05" w14:paraId="5EA71AB2" w14:textId="77777777" w:rsidTr="009F00CC">
        <w:trPr>
          <w:trHeight w:val="107"/>
          <w:jc w:val="center"/>
        </w:trPr>
        <w:tc>
          <w:tcPr>
            <w:tcW w:w="4587" w:type="dxa"/>
            <w:vAlign w:val="bottom"/>
          </w:tcPr>
          <w:p w14:paraId="79129660" w14:textId="0A31E053" w:rsid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Kirsten Oppenlaender</w:t>
            </w:r>
          </w:p>
          <w:p w14:paraId="591FE6EC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37EAC3ED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446B2CEB" w14:textId="22AD7967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157A71" w:rsidRPr="00153A05" w14:paraId="09CF6602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  <w:jc w:val="center"/>
        </w:trPr>
        <w:tc>
          <w:tcPr>
            <w:tcW w:w="4587" w:type="dxa"/>
            <w:vAlign w:val="bottom"/>
          </w:tcPr>
          <w:p w14:paraId="4799C215" w14:textId="61086B02" w:rsidR="00157A71" w:rsidRDefault="00157A71" w:rsidP="009F00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Morley </w:t>
            </w:r>
          </w:p>
          <w:p w14:paraId="7A8A68FA" w14:textId="74890535" w:rsidR="00157A71" w:rsidRDefault="00157A71" w:rsidP="009F0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D6635EE" w14:textId="77777777" w:rsidR="00157A71" w:rsidRDefault="00157A71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  <w:p w14:paraId="2AEA48D7" w14:textId="752FA84D" w:rsidR="00157A71" w:rsidRPr="00153A05" w:rsidRDefault="00157A71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“otro externo”</w:t>
            </w:r>
          </w:p>
        </w:tc>
        <w:tc>
          <w:tcPr>
            <w:tcW w:w="3149" w:type="dxa"/>
          </w:tcPr>
          <w:p w14:paraId="78F92A0E" w14:textId="6DE19E42" w:rsidR="00157A71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</w:tbl>
    <w:p w14:paraId="16D6AA21" w14:textId="4BB80B03" w:rsidR="00153A05" w:rsidRDefault="00153A05">
      <w:pPr>
        <w:rPr>
          <w:lang w:val="es-ES"/>
        </w:rPr>
      </w:pPr>
    </w:p>
    <w:p w14:paraId="3B6DF17A" w14:textId="755E97E5" w:rsidR="00F2190B" w:rsidRPr="00F2190B" w:rsidRDefault="00F2190B" w:rsidP="00F2190B">
      <w:pPr>
        <w:rPr>
          <w:rFonts w:ascii="Arial" w:hAnsi="Arial" w:cs="Arial"/>
          <w:bCs/>
          <w:sz w:val="20"/>
          <w:szCs w:val="20"/>
          <w:lang w:val="es-ES"/>
        </w:rPr>
      </w:pPr>
      <w:r w:rsidRPr="00F2190B">
        <w:rPr>
          <w:rFonts w:ascii="Arial" w:hAnsi="Arial" w:cs="Arial"/>
          <w:bCs/>
          <w:sz w:val="20"/>
          <w:szCs w:val="20"/>
          <w:lang w:val="es-ES"/>
        </w:rPr>
        <w:t>Funciones</w:t>
      </w:r>
      <w:r>
        <w:rPr>
          <w:rFonts w:ascii="Arial" w:hAnsi="Arial" w:cs="Arial"/>
          <w:bCs/>
          <w:sz w:val="20"/>
          <w:szCs w:val="20"/>
          <w:lang w:val="es-ES"/>
        </w:rPr>
        <w:t>: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Art. 46 de los Estatutos y </w:t>
      </w:r>
      <w:r w:rsidR="003F2192">
        <w:rPr>
          <w:rFonts w:ascii="Arial" w:hAnsi="Arial" w:cs="Arial"/>
          <w:bCs/>
          <w:sz w:val="20"/>
          <w:szCs w:val="20"/>
          <w:lang w:val="es-ES"/>
        </w:rPr>
        <w:t>24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del Reglamento del Consejo </w:t>
      </w:r>
    </w:p>
    <w:p w14:paraId="6E8B3E97" w14:textId="6EED1226" w:rsidR="00153A05" w:rsidRDefault="00153A05">
      <w:pPr>
        <w:rPr>
          <w:lang w:val="es-ES"/>
        </w:rPr>
      </w:pPr>
    </w:p>
    <w:tbl>
      <w:tblPr>
        <w:tblStyle w:val="LightList-Accent11"/>
        <w:tblW w:w="9220" w:type="dxa"/>
        <w:jc w:val="center"/>
        <w:tblLook w:val="0420" w:firstRow="1" w:lastRow="0" w:firstColumn="0" w:lastColumn="0" w:noHBand="0" w:noVBand="1"/>
      </w:tblPr>
      <w:tblGrid>
        <w:gridCol w:w="4587"/>
        <w:gridCol w:w="1484"/>
        <w:gridCol w:w="3149"/>
      </w:tblGrid>
      <w:tr w:rsidR="00153A05" w:rsidRPr="00A24BBD" w14:paraId="2103ECE3" w14:textId="77777777" w:rsidTr="009F0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9220" w:type="dxa"/>
            <w:gridSpan w:val="3"/>
            <w:vAlign w:val="center"/>
          </w:tcPr>
          <w:p w14:paraId="4451E33B" w14:textId="77777777" w:rsidR="00153A05" w:rsidRDefault="00153A05" w:rsidP="009F00CC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</w:p>
          <w:p w14:paraId="14872E32" w14:textId="4C469BD2" w:rsidR="00153A05" w:rsidRPr="00A24BBD" w:rsidRDefault="00153A05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Comisión de Remuneraciones</w:t>
            </w:r>
          </w:p>
        </w:tc>
      </w:tr>
      <w:tr w:rsidR="00153A05" w:rsidRPr="00153A05" w14:paraId="1D324B6C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center"/>
          </w:tcPr>
          <w:p w14:paraId="2EA38733" w14:textId="77777777" w:rsidR="00153A05" w:rsidRPr="00926FAF" w:rsidRDefault="00153A05" w:rsidP="009F00CC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consejero</w:t>
            </w:r>
          </w:p>
        </w:tc>
        <w:tc>
          <w:tcPr>
            <w:tcW w:w="1484" w:type="dxa"/>
            <w:vAlign w:val="center"/>
          </w:tcPr>
          <w:p w14:paraId="528674FC" w14:textId="77777777" w:rsidR="00153A05" w:rsidRPr="00926FAF" w:rsidRDefault="00153A05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Categoría de consejero</w:t>
            </w:r>
          </w:p>
        </w:tc>
        <w:tc>
          <w:tcPr>
            <w:tcW w:w="3149" w:type="dxa"/>
            <w:vAlign w:val="center"/>
          </w:tcPr>
          <w:p w14:paraId="0B42D000" w14:textId="77777777" w:rsidR="00153A05" w:rsidRPr="00926FAF" w:rsidRDefault="00153A05" w:rsidP="009F0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26F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Última fecha de nombramiento</w:t>
            </w:r>
          </w:p>
        </w:tc>
      </w:tr>
      <w:tr w:rsidR="00153A05" w:rsidRPr="00153A05" w14:paraId="1FB5B909" w14:textId="77777777" w:rsidTr="009F00CC">
        <w:trPr>
          <w:jc w:val="center"/>
        </w:trPr>
        <w:tc>
          <w:tcPr>
            <w:tcW w:w="4587" w:type="dxa"/>
            <w:vAlign w:val="bottom"/>
          </w:tcPr>
          <w:p w14:paraId="2D842349" w14:textId="63926C63" w:rsidR="00153A05" w:rsidRPr="00153A05" w:rsidRDefault="00157A71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7A71">
              <w:rPr>
                <w:rFonts w:ascii="Arial" w:hAnsi="Arial" w:cs="Arial"/>
                <w:sz w:val="20"/>
                <w:szCs w:val="20"/>
                <w:lang w:val="es-ES"/>
              </w:rPr>
              <w:t>Miriam González-Amézqueta</w:t>
            </w:r>
            <w:r w:rsidR="00153A05" w:rsidRPr="00153A0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gramStart"/>
            <w:r w:rsidR="00153A05" w:rsidRPr="00153A05">
              <w:rPr>
                <w:rFonts w:ascii="Arial" w:hAnsi="Arial" w:cs="Arial"/>
                <w:sz w:val="20"/>
                <w:szCs w:val="20"/>
                <w:lang w:val="es-ES"/>
              </w:rPr>
              <w:t>Presidente</w:t>
            </w:r>
            <w:proofErr w:type="gramEnd"/>
            <w:r w:rsidR="00153A05" w:rsidRPr="00153A05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414A7213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0071279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0A5CA86B" w14:textId="35CE546C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153A05" w:rsidRPr="00153A05" w14:paraId="0E00A088" w14:textId="77777777" w:rsidTr="009F0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587" w:type="dxa"/>
            <w:vAlign w:val="bottom"/>
          </w:tcPr>
          <w:p w14:paraId="278554B4" w14:textId="77777777" w:rsidR="00153A05" w:rsidRDefault="00157A71" w:rsidP="00157A7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Sonsoles Seoane García</w:t>
            </w: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1D5FF644" w14:textId="75F733A6" w:rsidR="00157A71" w:rsidRPr="00153A05" w:rsidRDefault="00157A71" w:rsidP="00157A7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05774AB9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Independiente</w:t>
            </w:r>
          </w:p>
        </w:tc>
        <w:tc>
          <w:tcPr>
            <w:tcW w:w="3149" w:type="dxa"/>
          </w:tcPr>
          <w:p w14:paraId="4C7A61A4" w14:textId="03D059C0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  <w:tr w:rsidR="00153A05" w:rsidRPr="00153A05" w14:paraId="7C1FCE69" w14:textId="77777777" w:rsidTr="009F00CC">
        <w:trPr>
          <w:trHeight w:val="107"/>
          <w:jc w:val="center"/>
        </w:trPr>
        <w:tc>
          <w:tcPr>
            <w:tcW w:w="4587" w:type="dxa"/>
            <w:vAlign w:val="bottom"/>
          </w:tcPr>
          <w:p w14:paraId="225AA527" w14:textId="77777777" w:rsidR="00153A05" w:rsidRDefault="00153A05" w:rsidP="00153A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Kirsten Oppenlaender</w:t>
            </w:r>
          </w:p>
          <w:p w14:paraId="32B1C052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84" w:type="dxa"/>
          </w:tcPr>
          <w:p w14:paraId="682BCCEC" w14:textId="77777777" w:rsidR="00153A05" w:rsidRPr="00153A05" w:rsidRDefault="00153A05" w:rsidP="009F00C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53A05">
              <w:rPr>
                <w:rFonts w:ascii="Arial" w:hAnsi="Arial" w:cs="Arial"/>
                <w:sz w:val="20"/>
                <w:szCs w:val="20"/>
                <w:lang w:val="es-ES"/>
              </w:rPr>
              <w:t>No ejecutivo</w:t>
            </w:r>
          </w:p>
        </w:tc>
        <w:tc>
          <w:tcPr>
            <w:tcW w:w="3149" w:type="dxa"/>
          </w:tcPr>
          <w:p w14:paraId="73617058" w14:textId="5764A461" w:rsidR="00153A05" w:rsidRPr="00153A05" w:rsidRDefault="00157A71" w:rsidP="009F00C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14.09.2022</w:t>
            </w:r>
          </w:p>
        </w:tc>
      </w:tr>
    </w:tbl>
    <w:p w14:paraId="367CD747" w14:textId="6E5B80A7" w:rsidR="00F2190B" w:rsidRDefault="00F2190B">
      <w:pPr>
        <w:rPr>
          <w:lang w:val="es-ES"/>
        </w:rPr>
      </w:pPr>
    </w:p>
    <w:p w14:paraId="4E48A135" w14:textId="25EF84EA" w:rsidR="00F2190B" w:rsidRPr="00F2190B" w:rsidRDefault="00F2190B" w:rsidP="00F2190B">
      <w:pPr>
        <w:rPr>
          <w:rFonts w:ascii="Arial" w:hAnsi="Arial" w:cs="Arial"/>
          <w:bCs/>
          <w:sz w:val="20"/>
          <w:szCs w:val="20"/>
          <w:lang w:val="es-ES"/>
        </w:rPr>
      </w:pPr>
      <w:r w:rsidRPr="00F2190B">
        <w:rPr>
          <w:rFonts w:ascii="Arial" w:hAnsi="Arial" w:cs="Arial"/>
          <w:bCs/>
          <w:sz w:val="20"/>
          <w:szCs w:val="20"/>
          <w:lang w:val="es-ES"/>
        </w:rPr>
        <w:t>Funciones</w:t>
      </w:r>
      <w:r>
        <w:rPr>
          <w:rFonts w:ascii="Arial" w:hAnsi="Arial" w:cs="Arial"/>
          <w:bCs/>
          <w:sz w:val="20"/>
          <w:szCs w:val="20"/>
          <w:lang w:val="es-ES"/>
        </w:rPr>
        <w:t>: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Art. 52 de los Estatutos y </w:t>
      </w:r>
      <w:r w:rsidR="003F2192">
        <w:rPr>
          <w:rFonts w:ascii="Arial" w:hAnsi="Arial" w:cs="Arial"/>
          <w:bCs/>
          <w:sz w:val="20"/>
          <w:szCs w:val="20"/>
          <w:lang w:val="es-ES"/>
        </w:rPr>
        <w:t>25</w:t>
      </w:r>
      <w:r w:rsidR="00C14ECA">
        <w:rPr>
          <w:rFonts w:ascii="Arial" w:hAnsi="Arial" w:cs="Arial"/>
          <w:bCs/>
          <w:sz w:val="20"/>
          <w:szCs w:val="20"/>
          <w:lang w:val="es-ES"/>
        </w:rPr>
        <w:t xml:space="preserve"> del Reglamento del Consejo </w:t>
      </w:r>
    </w:p>
    <w:p w14:paraId="476379E8" w14:textId="77777777" w:rsidR="00F2190B" w:rsidRPr="00841C46" w:rsidRDefault="00F2190B">
      <w:pPr>
        <w:rPr>
          <w:lang w:val="es-ES"/>
        </w:rPr>
      </w:pPr>
    </w:p>
    <w:sectPr w:rsidR="00F2190B" w:rsidRPr="00841C46" w:rsidSect="007D6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BB67" w14:textId="77777777" w:rsidR="00950397" w:rsidRDefault="00950397" w:rsidP="00841C46">
      <w:pPr>
        <w:spacing w:after="0" w:line="240" w:lineRule="auto"/>
      </w:pPr>
      <w:r>
        <w:separator/>
      </w:r>
    </w:p>
  </w:endnote>
  <w:endnote w:type="continuationSeparator" w:id="0">
    <w:p w14:paraId="6EEA7B5F" w14:textId="77777777" w:rsidR="00950397" w:rsidRDefault="00950397" w:rsidP="008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A1EB" w14:textId="77777777" w:rsidR="004E179F" w:rsidRDefault="00CD4EC7" w:rsidP="0068166C">
    <w:pPr>
      <w:pStyle w:val="Footer"/>
      <w:jc w:val="center"/>
    </w:pPr>
    <w:bookmarkStart w:id="0" w:name="aliashDocumentMarking1FooterEvenPages"/>
    <w:r>
      <w:rPr>
        <w:noProof/>
        <w:color w:val="000000"/>
        <w:sz w:val="17"/>
        <w:lang w:val="es-ES" w:eastAsia="es-ES"/>
      </w:rPr>
      <w:pict w14:anchorId="0B1ADA68">
        <v:shapetype id="_x0000_t202" coordsize="21600,21600" o:spt="202" path="m,l,21600r21600,l21600,xe">
          <v:stroke joinstyle="miter"/>
          <v:path gradientshapeok="t" o:connecttype="rect"/>
        </v:shapetype>
        <v:shape id="MSIPCM7e3d4c8e9ce0bcfa3c7eb748" o:spid="_x0000_s18435" type="#_x0000_t202" alt="{&quot;HashCode&quot;:-1864096203,&quot;Height&quot;:792.0,&quot;Width&quot;:612.0,&quot;Placement&quot;:&quot;Footer&quot;,&quot;Index&quot;:&quot;OddAndEven&quot;,&quot;Section&quot;:1,&quot;Top&quot;:0.0,&quot;Left&quot;:0.0}" style="position:absolute;left:0;text-align:left;margin-left:0;margin-top:756pt;width:612pt;height:21pt;z-index:25166028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42070A54" w14:textId="77777777" w:rsidR="0008121D" w:rsidRPr="00D442B0" w:rsidRDefault="00D442B0" w:rsidP="00D442B0">
                <w:pPr>
                  <w:spacing w:after="0"/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D442B0">
                  <w:rPr>
                    <w:rFonts w:ascii="Calibri" w:hAnsi="Calibri"/>
                    <w:color w:val="000000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68166C" w:rsidRPr="0068166C">
      <w:rPr>
        <w:color w:val="000000"/>
        <w:sz w:val="17"/>
      </w:rPr>
      <w:t> </w:t>
    </w:r>
  </w:p>
  <w:bookmarkEnd w:id="0"/>
  <w:p w14:paraId="39849508" w14:textId="77777777" w:rsidR="0068166C" w:rsidRDefault="00681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B753" w14:textId="77777777" w:rsidR="004E179F" w:rsidRDefault="00CD4EC7" w:rsidP="0068166C">
    <w:pPr>
      <w:pStyle w:val="Footer"/>
      <w:jc w:val="center"/>
    </w:pPr>
    <w:bookmarkStart w:id="1" w:name="aliashDocumentMarking1FooterPrimary"/>
    <w:r>
      <w:rPr>
        <w:noProof/>
        <w:color w:val="000000"/>
        <w:sz w:val="17"/>
        <w:lang w:val="es-ES" w:eastAsia="es-ES"/>
      </w:rPr>
      <w:pict w14:anchorId="20398659">
        <v:shapetype id="_x0000_t202" coordsize="21600,21600" o:spt="202" path="m,l,21600r21600,l21600,xe">
          <v:stroke joinstyle="miter"/>
          <v:path gradientshapeok="t" o:connecttype="rect"/>
        </v:shapetype>
        <v:shape id="MSIPCM6201467ea48d7fffeabfd385" o:spid="_x0000_s18433" type="#_x0000_t202" alt="{&quot;HashCode&quot;:-186409620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775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3C67C1A2" w14:textId="77777777" w:rsidR="0008121D" w:rsidRPr="00D442B0" w:rsidRDefault="00D442B0" w:rsidP="00D442B0">
                <w:pPr>
                  <w:spacing w:after="0"/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D442B0">
                  <w:rPr>
                    <w:rFonts w:ascii="Calibri" w:hAnsi="Calibri"/>
                    <w:color w:val="000000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68166C" w:rsidRPr="0068166C">
      <w:rPr>
        <w:color w:val="000000"/>
        <w:sz w:val="17"/>
      </w:rPr>
      <w:t> </w:t>
    </w:r>
  </w:p>
  <w:bookmarkEnd w:id="1"/>
  <w:p w14:paraId="6F80B51B" w14:textId="77777777" w:rsidR="0068166C" w:rsidRDefault="00681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1465" w14:textId="77777777" w:rsidR="004E179F" w:rsidRDefault="00CD4EC7" w:rsidP="0068166C">
    <w:pPr>
      <w:pStyle w:val="Footer"/>
      <w:jc w:val="center"/>
    </w:pPr>
    <w:bookmarkStart w:id="2" w:name="aliashDocumentMarking1FooterFirstPage"/>
    <w:r>
      <w:rPr>
        <w:noProof/>
        <w:color w:val="000000"/>
        <w:sz w:val="17"/>
        <w:lang w:val="es-ES" w:eastAsia="es-ES"/>
      </w:rPr>
      <w:pict w14:anchorId="771C91E5">
        <v:shapetype id="_x0000_t202" coordsize="21600,21600" o:spt="202" path="m,l,21600r21600,l21600,xe">
          <v:stroke joinstyle="miter"/>
          <v:path gradientshapeok="t" o:connecttype="rect"/>
        </v:shapetype>
        <v:shape id="MSIPCMc21a46aa8895f7f7b7fbafa5" o:spid="_x0000_s18434" type="#_x0000_t202" alt="{&quot;HashCode&quot;:-1864096203,&quot;Height&quot;:792.0,&quot;Width&quot;:612.0,&quot;Placement&quot;:&quot;Footer&quot;,&quot;Index&quot;:&quot;FirstPage&quot;,&quot;Section&quot;:1,&quot;Top&quot;:0.0,&quot;Left&quot;:0.0}" style="position:absolute;left:0;text-align:left;margin-left:0;margin-top:756pt;width:612pt;height:21pt;z-index:25166003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7F4C2CFF" w14:textId="77777777" w:rsidR="0008121D" w:rsidRPr="00D442B0" w:rsidRDefault="00D442B0" w:rsidP="00D442B0">
                <w:pPr>
                  <w:spacing w:after="0"/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D442B0">
                  <w:rPr>
                    <w:rFonts w:ascii="Calibri" w:hAnsi="Calibri"/>
                    <w:color w:val="000000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68166C" w:rsidRPr="0068166C">
      <w:rPr>
        <w:color w:val="000000"/>
        <w:sz w:val="17"/>
      </w:rPr>
      <w:t> </w:t>
    </w:r>
  </w:p>
  <w:bookmarkEnd w:id="2"/>
  <w:p w14:paraId="0F7D330C" w14:textId="77777777" w:rsidR="0068166C" w:rsidRDefault="0068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1F8C" w14:textId="77777777" w:rsidR="00950397" w:rsidRDefault="00950397" w:rsidP="00841C46">
      <w:pPr>
        <w:spacing w:after="0" w:line="240" w:lineRule="auto"/>
      </w:pPr>
      <w:r>
        <w:separator/>
      </w:r>
    </w:p>
  </w:footnote>
  <w:footnote w:type="continuationSeparator" w:id="0">
    <w:p w14:paraId="42D0FDD1" w14:textId="77777777" w:rsidR="00950397" w:rsidRDefault="00950397" w:rsidP="00841C46">
      <w:pPr>
        <w:spacing w:after="0" w:line="240" w:lineRule="auto"/>
      </w:pPr>
      <w:r>
        <w:continuationSeparator/>
      </w:r>
    </w:p>
  </w:footnote>
  <w:footnote w:id="1">
    <w:p w14:paraId="4D123755" w14:textId="0DF23528" w:rsidR="00950397" w:rsidRPr="004B2AFE" w:rsidRDefault="00950397" w:rsidP="00C118E9">
      <w:pPr>
        <w:pStyle w:val="FootnoteText"/>
        <w:jc w:val="both"/>
        <w:rPr>
          <w:rFonts w:ascii="Times New Roman" w:hAnsi="Times New Roman" w:cs="Times New Roman"/>
          <w:lang w:val="es-ES"/>
        </w:rPr>
      </w:pPr>
      <w:r w:rsidRPr="00E01FAC">
        <w:rPr>
          <w:rFonts w:ascii="Arial" w:hAnsi="Arial" w:cs="Arial"/>
          <w:sz w:val="18"/>
          <w:lang w:val="es-ES"/>
        </w:rPr>
        <w:footnoteRef/>
      </w:r>
      <w:r w:rsidRPr="00E01FAC">
        <w:rPr>
          <w:rFonts w:ascii="Arial" w:hAnsi="Arial" w:cs="Arial"/>
          <w:sz w:val="18"/>
          <w:lang w:val="es-ES"/>
        </w:rPr>
        <w:t xml:space="preserve"> Ver artículo Vigesimosegundo de los Estatutos Sociales de DB SAE</w:t>
      </w:r>
      <w:r w:rsidR="00051E4C">
        <w:rPr>
          <w:rFonts w:ascii="Arial" w:hAnsi="Arial" w:cs="Arial"/>
          <w:sz w:val="18"/>
          <w:lang w:val="es-ES"/>
        </w:rPr>
        <w:t>U</w:t>
      </w:r>
      <w:r w:rsidRPr="00E01FAC">
        <w:rPr>
          <w:rFonts w:ascii="Arial" w:hAnsi="Arial" w:cs="Arial"/>
          <w:sz w:val="18"/>
          <w:lang w:val="es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E13D" w14:textId="77777777" w:rsidR="0054331C" w:rsidRPr="00031CBE" w:rsidRDefault="0054331C" w:rsidP="0054331C">
    <w:pPr>
      <w:pStyle w:val="identifier1st"/>
      <w:rPr>
        <w:b/>
        <w:bCs/>
      </w:rPr>
    </w:pPr>
    <w:r>
      <w:t>D</w:t>
    </w:r>
    <w:r w:rsidRPr="008A509A">
      <w:t>eutsche Bank</w:t>
    </w:r>
    <w:r>
      <w:tab/>
    </w:r>
    <w:r w:rsidR="00CD4EC7">
      <w:pict w14:anchorId="14856B9B">
        <v:shape id="_x0000_s18443" style="position:absolute;margin-left:519pt;margin-top:28.6pt;width:45.3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" path="m505,505r,2598l3101,3103r,-2598l505,505xm,l3609,r,3609l,3609,,xm795,2745l2166,866r648,l1443,2745r-648,xe" fillcolor="#0018a8" stroked="f" strokecolor="#0018a8" strokeweight="0">
          <v:path arrowok="t" o:connecttype="custom" o:connectlocs="80591,80591;80591,495195;494875,495195;494875,80591;80591,80591;0,0;575945,0;575945,575945;0,575945;0,0;126871,438063;345663,138201;449074,138201;230282,438063;126871,438063" o:connectangles="0,0,0,0,0,0,0,0,0,0,0,0,0,0,0"/>
          <o:lock v:ext="edit" verticies="t"/>
          <w10:wrap anchorx="page" anchory="page"/>
          <w10:anchorlock/>
        </v:shape>
      </w:pict>
    </w:r>
  </w:p>
  <w:p w14:paraId="4136C963" w14:textId="77777777" w:rsidR="0054331C" w:rsidRPr="00E70CFD" w:rsidRDefault="0054331C" w:rsidP="0054331C">
    <w:pPr>
      <w:pStyle w:val="identifier1st"/>
      <w:rPr>
        <w:color w:val="00B0F0"/>
      </w:rPr>
    </w:pPr>
    <w:r w:rsidRPr="00031CBE">
      <w:rPr>
        <w:color w:val="00B0F0"/>
      </w:rPr>
      <w:t>E</w:t>
    </w:r>
    <w:r w:rsidRPr="00E70CFD">
      <w:rPr>
        <w:color w:val="00B0F0"/>
      </w:rPr>
      <w:t>spaña</w:t>
    </w:r>
  </w:p>
  <w:p w14:paraId="6DD8A7D7" w14:textId="77777777" w:rsidR="0054331C" w:rsidRDefault="0054331C" w:rsidP="0054331C">
    <w:pPr>
      <w:pStyle w:val="Header"/>
      <w:tabs>
        <w:tab w:val="left" w:pos="600"/>
      </w:tabs>
    </w:pPr>
    <w:r>
      <w:tab/>
    </w:r>
    <w:r>
      <w:tab/>
    </w:r>
  </w:p>
  <w:p w14:paraId="53B62DD0" w14:textId="24315B39" w:rsidR="007D6DF9" w:rsidRDefault="007D6DF9" w:rsidP="00E01FA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606B" w14:textId="77777777" w:rsidR="0054331C" w:rsidRPr="00031CBE" w:rsidRDefault="0054331C" w:rsidP="0054331C">
    <w:pPr>
      <w:pStyle w:val="identifier1st"/>
      <w:rPr>
        <w:b/>
        <w:bCs/>
      </w:rPr>
    </w:pPr>
    <w:r>
      <w:t>D</w:t>
    </w:r>
    <w:r w:rsidRPr="008A509A">
      <w:t>eutsche Bank</w:t>
    </w:r>
    <w:r>
      <w:tab/>
    </w:r>
    <w:r w:rsidR="00CD4EC7">
      <w:pict w14:anchorId="7893099A">
        <v:shape id="_x0000_s18444" style="position:absolute;margin-left:519pt;margin-top:28.6pt;width:45.3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" path="m505,505r,2598l3101,3103r,-2598l505,505xm,l3609,r,3609l,3609,,xm795,2745l2166,866r648,l1443,2745r-648,xe" fillcolor="#0018a8" stroked="f" strokecolor="#0018a8" strokeweight="0">
          <v:path arrowok="t" o:connecttype="custom" o:connectlocs="80591,80591;80591,495195;494875,495195;494875,80591;80591,80591;0,0;575945,0;575945,575945;0,575945;0,0;126871,438063;345663,138201;449074,138201;230282,438063;126871,438063" o:connectangles="0,0,0,0,0,0,0,0,0,0,0,0,0,0,0"/>
          <o:lock v:ext="edit" verticies="t"/>
          <w10:wrap anchorx="page" anchory="page"/>
          <w10:anchorlock/>
        </v:shape>
      </w:pict>
    </w:r>
  </w:p>
  <w:p w14:paraId="4353ABEF" w14:textId="77777777" w:rsidR="0054331C" w:rsidRPr="00E70CFD" w:rsidRDefault="0054331C" w:rsidP="0054331C">
    <w:pPr>
      <w:pStyle w:val="identifier1st"/>
      <w:rPr>
        <w:color w:val="00B0F0"/>
      </w:rPr>
    </w:pPr>
    <w:r w:rsidRPr="00031CBE">
      <w:rPr>
        <w:color w:val="00B0F0"/>
      </w:rPr>
      <w:t>E</w:t>
    </w:r>
    <w:r w:rsidRPr="00E70CFD">
      <w:rPr>
        <w:color w:val="00B0F0"/>
      </w:rPr>
      <w:t>spaña</w:t>
    </w:r>
  </w:p>
  <w:p w14:paraId="7BF7B91A" w14:textId="77777777" w:rsidR="0054331C" w:rsidRDefault="0054331C" w:rsidP="0054331C">
    <w:pPr>
      <w:pStyle w:val="Header"/>
      <w:tabs>
        <w:tab w:val="left" w:pos="600"/>
      </w:tabs>
    </w:pPr>
    <w:r>
      <w:tab/>
    </w:r>
    <w:r>
      <w:tab/>
    </w:r>
  </w:p>
  <w:p w14:paraId="79A805D0" w14:textId="2BABCAE2" w:rsidR="00950397" w:rsidRPr="0054331C" w:rsidRDefault="00950397" w:rsidP="00543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1E2E" w14:textId="73CBEF18" w:rsidR="00723AE0" w:rsidRPr="00031CBE" w:rsidRDefault="00723AE0" w:rsidP="00723AE0">
    <w:pPr>
      <w:pStyle w:val="identifier1st"/>
      <w:rPr>
        <w:b/>
        <w:bCs/>
      </w:rPr>
    </w:pPr>
    <w:r>
      <w:t>D</w:t>
    </w:r>
    <w:r w:rsidRPr="008A509A">
      <w:t>eutsche Bank</w:t>
    </w:r>
    <w:r>
      <w:tab/>
    </w:r>
    <w:r w:rsidR="00CD4EC7">
      <w:pict w14:anchorId="0881BA12">
        <v:shape id="Freeform 31" o:spid="_x0000_s18439" style="position:absolute;margin-left:519pt;margin-top:28.6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" path="m505,505r,2598l3101,3103r,-2598l505,505xm,l3609,r,3609l,3609,,xm795,2745l2166,866r648,l1443,2745r-648,xe" fillcolor="#0018a8" stroked="f" strokecolor="#0018a8" strokeweight="0">
          <v:path arrowok="t" o:connecttype="custom" o:connectlocs="80591,80591;80591,495195;494875,495195;494875,80591;80591,80591;0,0;575945,0;575945,575945;0,575945;0,0;126871,438063;345663,138201;449074,138201;230282,438063;126871,438063" o:connectangles="0,0,0,0,0,0,0,0,0,0,0,0,0,0,0"/>
          <o:lock v:ext="edit" verticies="t"/>
          <w10:wrap anchorx="page" anchory="page"/>
          <w10:anchorlock/>
        </v:shape>
      </w:pict>
    </w:r>
  </w:p>
  <w:p w14:paraId="14B8B543" w14:textId="77777777" w:rsidR="00723AE0" w:rsidRPr="00E70CFD" w:rsidRDefault="00723AE0" w:rsidP="00723AE0">
    <w:pPr>
      <w:pStyle w:val="identifier1st"/>
      <w:rPr>
        <w:color w:val="00B0F0"/>
      </w:rPr>
    </w:pPr>
    <w:r w:rsidRPr="00031CBE">
      <w:rPr>
        <w:color w:val="00B0F0"/>
      </w:rPr>
      <w:t>E</w:t>
    </w:r>
    <w:r w:rsidRPr="00E70CFD">
      <w:rPr>
        <w:color w:val="00B0F0"/>
      </w:rPr>
      <w:t>spaña</w:t>
    </w:r>
  </w:p>
  <w:p w14:paraId="0D0E8A35" w14:textId="77777777" w:rsidR="00723AE0" w:rsidRDefault="00723AE0" w:rsidP="00723AE0">
    <w:pPr>
      <w:pStyle w:val="Header"/>
      <w:tabs>
        <w:tab w:val="left" w:pos="600"/>
      </w:tabs>
    </w:pPr>
    <w:r>
      <w:tab/>
    </w:r>
    <w:r>
      <w:tab/>
    </w:r>
  </w:p>
  <w:p w14:paraId="27C4D951" w14:textId="65A0F82F" w:rsidR="007D6DF9" w:rsidRDefault="007D6DF9" w:rsidP="00E01F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06B0"/>
    <w:multiLevelType w:val="hybridMultilevel"/>
    <w:tmpl w:val="D416F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84E83"/>
    <w:multiLevelType w:val="hybridMultilevel"/>
    <w:tmpl w:val="5E1CB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E39B6"/>
    <w:multiLevelType w:val="hybridMultilevel"/>
    <w:tmpl w:val="43186140"/>
    <w:lvl w:ilvl="0" w:tplc="72BE79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76B09"/>
    <w:multiLevelType w:val="hybridMultilevel"/>
    <w:tmpl w:val="2A1CF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844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C46"/>
    <w:rsid w:val="0003109A"/>
    <w:rsid w:val="00051E4C"/>
    <w:rsid w:val="0008121D"/>
    <w:rsid w:val="0008336F"/>
    <w:rsid w:val="00091D94"/>
    <w:rsid w:val="000F28A7"/>
    <w:rsid w:val="0013573E"/>
    <w:rsid w:val="00150390"/>
    <w:rsid w:val="00153A05"/>
    <w:rsid w:val="00157A71"/>
    <w:rsid w:val="001A0ABB"/>
    <w:rsid w:val="001A44E3"/>
    <w:rsid w:val="001A5F9C"/>
    <w:rsid w:val="001D0FBD"/>
    <w:rsid w:val="001E464C"/>
    <w:rsid w:val="0028200A"/>
    <w:rsid w:val="0037372D"/>
    <w:rsid w:val="003C19ED"/>
    <w:rsid w:val="003E2893"/>
    <w:rsid w:val="003F2192"/>
    <w:rsid w:val="004006D4"/>
    <w:rsid w:val="004228E1"/>
    <w:rsid w:val="00453E52"/>
    <w:rsid w:val="00476A4B"/>
    <w:rsid w:val="004C3AED"/>
    <w:rsid w:val="004E179F"/>
    <w:rsid w:val="004F341F"/>
    <w:rsid w:val="00516E22"/>
    <w:rsid w:val="0054331C"/>
    <w:rsid w:val="00576AE4"/>
    <w:rsid w:val="005E5866"/>
    <w:rsid w:val="005F4D58"/>
    <w:rsid w:val="005F6C9C"/>
    <w:rsid w:val="005F7136"/>
    <w:rsid w:val="0068166C"/>
    <w:rsid w:val="006C594D"/>
    <w:rsid w:val="00723AE0"/>
    <w:rsid w:val="00740728"/>
    <w:rsid w:val="00764159"/>
    <w:rsid w:val="007D6DF9"/>
    <w:rsid w:val="0080350A"/>
    <w:rsid w:val="008079A7"/>
    <w:rsid w:val="00811FF2"/>
    <w:rsid w:val="00841C46"/>
    <w:rsid w:val="008661AA"/>
    <w:rsid w:val="00887CE3"/>
    <w:rsid w:val="008A1ABB"/>
    <w:rsid w:val="008F7499"/>
    <w:rsid w:val="00926FAF"/>
    <w:rsid w:val="00936F67"/>
    <w:rsid w:val="00950397"/>
    <w:rsid w:val="00965E15"/>
    <w:rsid w:val="00975FCE"/>
    <w:rsid w:val="009E397B"/>
    <w:rsid w:val="00A24BBD"/>
    <w:rsid w:val="00B125A3"/>
    <w:rsid w:val="00B61980"/>
    <w:rsid w:val="00BB57D4"/>
    <w:rsid w:val="00BB7A3C"/>
    <w:rsid w:val="00C053EF"/>
    <w:rsid w:val="00C118E9"/>
    <w:rsid w:val="00C14ECA"/>
    <w:rsid w:val="00C96DAE"/>
    <w:rsid w:val="00CD4EC7"/>
    <w:rsid w:val="00CE37D0"/>
    <w:rsid w:val="00D10420"/>
    <w:rsid w:val="00D442B0"/>
    <w:rsid w:val="00D57A8B"/>
    <w:rsid w:val="00D70524"/>
    <w:rsid w:val="00DE79E9"/>
    <w:rsid w:val="00DF0778"/>
    <w:rsid w:val="00E01FAC"/>
    <w:rsid w:val="00E520FC"/>
    <w:rsid w:val="00E630BD"/>
    <w:rsid w:val="00E71A99"/>
    <w:rsid w:val="00EA4E95"/>
    <w:rsid w:val="00EB07A0"/>
    <w:rsid w:val="00F03E85"/>
    <w:rsid w:val="00F0530D"/>
    <w:rsid w:val="00F2190B"/>
    <w:rsid w:val="00F42D2C"/>
    <w:rsid w:val="00F9726F"/>
    <w:rsid w:val="00FA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8"/>
    <o:shapelayout v:ext="edit">
      <o:idmap v:ext="edit" data="1"/>
    </o:shapelayout>
  </w:shapeDefaults>
  <w:decimalSymbol w:val=","/>
  <w:listSeparator w:val=";"/>
  <w14:docId w14:val="086979AB"/>
  <w15:docId w15:val="{0670AE1F-853A-4841-997C-F04C82EC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841C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841C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41C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1C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C46"/>
    <w:rPr>
      <w:vertAlign w:val="superscript"/>
    </w:rPr>
  </w:style>
  <w:style w:type="paragraph" w:styleId="ListNumber2">
    <w:name w:val="List Number 2"/>
    <w:basedOn w:val="Normal"/>
    <w:link w:val="ListNumber2Char"/>
    <w:rsid w:val="00A24BBD"/>
    <w:pPr>
      <w:spacing w:after="24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ListNumber2Char">
    <w:name w:val="List Number 2 Char"/>
    <w:basedOn w:val="DefaultParagraphFont"/>
    <w:link w:val="ListNumber2"/>
    <w:locked/>
    <w:rsid w:val="00A24BBD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C1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E9"/>
  </w:style>
  <w:style w:type="paragraph" w:styleId="Footer">
    <w:name w:val="footer"/>
    <w:basedOn w:val="Normal"/>
    <w:link w:val="FooterChar"/>
    <w:uiPriority w:val="99"/>
    <w:unhideWhenUsed/>
    <w:rsid w:val="00C11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E9"/>
  </w:style>
  <w:style w:type="paragraph" w:styleId="BalloonText">
    <w:name w:val="Balloon Text"/>
    <w:basedOn w:val="Normal"/>
    <w:link w:val="BalloonTextChar"/>
    <w:uiPriority w:val="99"/>
    <w:semiHidden/>
    <w:unhideWhenUsed/>
    <w:rsid w:val="00C1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E9"/>
    <w:rPr>
      <w:rFonts w:ascii="Tahoma" w:hAnsi="Tahoma" w:cs="Tahoma"/>
      <w:sz w:val="16"/>
      <w:szCs w:val="16"/>
    </w:rPr>
  </w:style>
  <w:style w:type="paragraph" w:customStyle="1" w:styleId="identifier1st">
    <w:name w:val="identifier 1st"/>
    <w:basedOn w:val="Normal"/>
    <w:qFormat/>
    <w:rsid w:val="00723AE0"/>
    <w:pPr>
      <w:spacing w:after="0" w:line="240" w:lineRule="exact"/>
    </w:pPr>
    <w:rPr>
      <w:rFonts w:ascii="Deutsche Bank Text" w:eastAsia="Times New Roman" w:hAnsi="Deutsche Bank Text" w:cs="Times New Roman"/>
      <w:noProof/>
      <w:color w:val="4F81BD" w:themeColor="accent1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3FE0-1A25-4F72-8537-D9CE1B6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1910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labasof</dc:creator>
  <cp:keywords>Public</cp:keywords>
  <cp:lastModifiedBy>Natalia Fuertes</cp:lastModifiedBy>
  <cp:revision>68</cp:revision>
  <dcterms:created xsi:type="dcterms:W3CDTF">2016-04-05T10:29:00Z</dcterms:created>
  <dcterms:modified xsi:type="dcterms:W3CDTF">2023-03-10T09:36:00Z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57f2f502-5b44-4f86-882f-5c7d98dd8c90</vt:lpwstr>
  </property>
  <property fmtid="{D5CDD505-2E9C-101B-9397-08002B2CF9AE}" pid="3" name="aliashDocumentMarking">
    <vt:lpwstr>Public</vt:lpwstr>
  </property>
  <property fmtid="{D5CDD505-2E9C-101B-9397-08002B2CF9AE}" pid="4" name="MSIP_Label_958510b9-3810-472f-9abf-3a689c488070_Enabled">
    <vt:lpwstr>true</vt:lpwstr>
  </property>
  <property fmtid="{D5CDD505-2E9C-101B-9397-08002B2CF9AE}" pid="5" name="MSIP_Label_958510b9-3810-472f-9abf-3a689c488070_SetDate">
    <vt:lpwstr>2023-03-10T09:36:42Z</vt:lpwstr>
  </property>
  <property fmtid="{D5CDD505-2E9C-101B-9397-08002B2CF9AE}" pid="6" name="MSIP_Label_958510b9-3810-472f-9abf-3a689c488070_Method">
    <vt:lpwstr>Standard</vt:lpwstr>
  </property>
  <property fmtid="{D5CDD505-2E9C-101B-9397-08002B2CF9AE}" pid="7" name="MSIP_Label_958510b9-3810-472f-9abf-3a689c488070_Name">
    <vt:lpwstr>958510b9-3810-472f-9abf-3a689c488070</vt:lpwstr>
  </property>
  <property fmtid="{D5CDD505-2E9C-101B-9397-08002B2CF9AE}" pid="8" name="MSIP_Label_958510b9-3810-472f-9abf-3a689c488070_SiteId">
    <vt:lpwstr>1e9b61e8-e590-4abc-b1af-24125e330d2a</vt:lpwstr>
  </property>
  <property fmtid="{D5CDD505-2E9C-101B-9397-08002B2CF9AE}" pid="9" name="MSIP_Label_958510b9-3810-472f-9abf-3a689c488070_ActionId">
    <vt:lpwstr>06a4123d-a64b-4b4c-b140-0398d2366e58</vt:lpwstr>
  </property>
  <property fmtid="{D5CDD505-2E9C-101B-9397-08002B2CF9AE}" pid="10" name="MSIP_Label_958510b9-3810-472f-9abf-3a689c488070_ContentBits">
    <vt:lpwstr>3</vt:lpwstr>
  </property>
  <property fmtid="{D5CDD505-2E9C-101B-9397-08002B2CF9AE}" pid="11" name="db.comClassification">
    <vt:lpwstr>Public</vt:lpwstr>
  </property>
</Properties>
</file>