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E2" w:rsidRPr="00842AFE" w:rsidRDefault="006D11CC" w:rsidP="00AF08E2">
      <w:pPr>
        <w:rPr>
          <w:sz w:val="18"/>
          <w:szCs w:val="18"/>
          <w:lang w:val="uk-UA"/>
        </w:rPr>
      </w:pPr>
      <w:r w:rsidRPr="00842AFE">
        <w:rPr>
          <w:sz w:val="18"/>
          <w:szCs w:val="18"/>
          <w:lang w:val="uk-UA"/>
        </w:rPr>
        <w:tab/>
      </w:r>
    </w:p>
    <w:tbl>
      <w:tblPr>
        <w:tblpPr w:leftFromText="180" w:rightFromText="180" w:vertAnchor="text" w:horzAnchor="margin" w:tblpXSpec="right" w:tblpY="-78"/>
        <w:tblW w:w="5036" w:type="dxa"/>
        <w:tblLook w:val="00A0" w:firstRow="1" w:lastRow="0" w:firstColumn="1" w:lastColumn="0" w:noHBand="0" w:noVBand="0"/>
      </w:tblPr>
      <w:tblGrid>
        <w:gridCol w:w="5036"/>
      </w:tblGrid>
      <w:tr w:rsidR="00AF08E2" w:rsidRPr="00016116" w:rsidTr="00C82F5E">
        <w:tc>
          <w:tcPr>
            <w:tcW w:w="5036" w:type="dxa"/>
            <w:vAlign w:val="bottom"/>
          </w:tcPr>
          <w:p w:rsidR="00AF08E2" w:rsidRPr="00842AFE" w:rsidRDefault="00AF08E2" w:rsidP="00C82F5E">
            <w:pPr>
              <w:rPr>
                <w:b/>
                <w:lang w:val="uk-UA"/>
              </w:rPr>
            </w:pPr>
            <w:r w:rsidRPr="00842AFE">
              <w:rPr>
                <w:b/>
                <w:lang w:val="uk-UA"/>
              </w:rPr>
              <w:t>Національній комісії з цінних паперів та фондового ринку</w:t>
            </w:r>
          </w:p>
          <w:p w:rsidR="00AF08E2" w:rsidRPr="00842AFE" w:rsidRDefault="00AF08E2" w:rsidP="00C82F5E">
            <w:pPr>
              <w:rPr>
                <w:b/>
                <w:lang w:val="uk-UA"/>
              </w:rPr>
            </w:pPr>
          </w:p>
        </w:tc>
      </w:tr>
      <w:tr w:rsidR="00AF08E2" w:rsidRPr="00016116" w:rsidTr="00C82F5E">
        <w:trPr>
          <w:trHeight w:val="70"/>
        </w:trPr>
        <w:tc>
          <w:tcPr>
            <w:tcW w:w="5036" w:type="dxa"/>
          </w:tcPr>
          <w:p w:rsidR="00AF08E2" w:rsidRPr="00842AFE" w:rsidRDefault="00AF08E2" w:rsidP="00C82F5E">
            <w:pPr>
              <w:rPr>
                <w:lang w:val="uk-UA"/>
              </w:rPr>
            </w:pPr>
            <w:r w:rsidRPr="00842AFE">
              <w:rPr>
                <w:lang w:val="uk-UA"/>
              </w:rPr>
              <w:t>вул. Московська 8, к. 30, м. Київ, 01010</w:t>
            </w:r>
          </w:p>
        </w:tc>
      </w:tr>
    </w:tbl>
    <w:p w:rsidR="00AF08E2" w:rsidRPr="00842AFE" w:rsidRDefault="00AF08E2" w:rsidP="00AF08E2">
      <w:pPr>
        <w:jc w:val="both"/>
        <w:rPr>
          <w:sz w:val="18"/>
          <w:szCs w:val="18"/>
          <w:lang w:val="uk-UA"/>
        </w:rPr>
      </w:pPr>
      <w:r w:rsidRPr="00842AFE">
        <w:rPr>
          <w:color w:val="292B2C"/>
          <w:lang w:val="uk-UA"/>
        </w:rPr>
        <w:t>Вих № МО/190426/</w:t>
      </w:r>
      <w:r w:rsidR="00566B16">
        <w:rPr>
          <w:color w:val="292B2C"/>
          <w:lang w:val="uk-UA"/>
        </w:rPr>
        <w:t>6</w:t>
      </w:r>
      <w:r w:rsidR="00ED45FD">
        <w:rPr>
          <w:color w:val="292B2C"/>
        </w:rPr>
        <w:t xml:space="preserve"> </w:t>
      </w:r>
      <w:r w:rsidR="00ED45FD">
        <w:rPr>
          <w:color w:val="292B2C"/>
          <w:lang w:val="uk-UA"/>
        </w:rPr>
        <w:t>від 26.04.2019р.</w:t>
      </w:r>
      <w:bookmarkStart w:id="0" w:name="_GoBack"/>
      <w:bookmarkEnd w:id="0"/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</w:p>
    <w:p w:rsidR="00AF08E2" w:rsidRPr="00842AFE" w:rsidRDefault="00AF08E2" w:rsidP="00AF08E2">
      <w:pPr>
        <w:rPr>
          <w:sz w:val="18"/>
          <w:szCs w:val="18"/>
          <w:lang w:val="uk-UA"/>
        </w:rPr>
      </w:pPr>
    </w:p>
    <w:p w:rsidR="00AF08E2" w:rsidRPr="00842AFE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842AFE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842AFE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842AFE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842AFE" w:rsidRDefault="00AF08E2" w:rsidP="00AF08E2">
      <w:pPr>
        <w:jc w:val="center"/>
        <w:rPr>
          <w:b/>
          <w:lang w:val="uk-UA"/>
        </w:rPr>
      </w:pPr>
      <w:r w:rsidRPr="00842AFE">
        <w:rPr>
          <w:b/>
          <w:lang w:val="uk-UA"/>
        </w:rPr>
        <w:t>Особлива інформація</w:t>
      </w:r>
    </w:p>
    <w:p w:rsidR="00AF08E2" w:rsidRPr="00842AFE" w:rsidRDefault="00AF08E2" w:rsidP="00AF08E2">
      <w:pPr>
        <w:jc w:val="center"/>
        <w:rPr>
          <w:sz w:val="18"/>
          <w:szCs w:val="18"/>
          <w:highlight w:val="yellow"/>
          <w:lang w:val="uk-UA"/>
        </w:rPr>
      </w:pPr>
    </w:p>
    <w:p w:rsidR="00AF08E2" w:rsidRPr="00842AFE" w:rsidRDefault="00AF08E2" w:rsidP="00AF08E2">
      <w:pPr>
        <w:rPr>
          <w:sz w:val="18"/>
          <w:szCs w:val="18"/>
          <w:highlight w:val="yellow"/>
          <w:lang w:val="uk-UA"/>
        </w:rPr>
      </w:pPr>
    </w:p>
    <w:p w:rsidR="00837F20" w:rsidRPr="00842AFE" w:rsidRDefault="00AF08E2" w:rsidP="00AF08E2">
      <w:pPr>
        <w:jc w:val="both"/>
        <w:rPr>
          <w:color w:val="292B2C"/>
          <w:lang w:val="uk-UA"/>
        </w:rPr>
      </w:pPr>
      <w:r w:rsidRPr="00842AFE">
        <w:rPr>
          <w:sz w:val="18"/>
          <w:szCs w:val="18"/>
          <w:lang w:val="uk-UA"/>
        </w:rPr>
        <w:tab/>
      </w:r>
      <w:r w:rsidR="00837F20" w:rsidRPr="00842AFE">
        <w:rPr>
          <w:lang w:val="uk-UA"/>
        </w:rPr>
        <w:t>Враховуючи той факт, що</w:t>
      </w:r>
      <w:r w:rsidR="00837F20" w:rsidRPr="00842AFE">
        <w:rPr>
          <w:sz w:val="18"/>
          <w:szCs w:val="18"/>
          <w:lang w:val="uk-UA"/>
        </w:rPr>
        <w:t xml:space="preserve"> </w:t>
      </w:r>
      <w:r w:rsidRPr="00842AFE">
        <w:rPr>
          <w:color w:val="292B2C"/>
          <w:lang w:val="uk-UA"/>
        </w:rPr>
        <w:t xml:space="preserve">АТ «Дойче Банк ДБУ (надалі – «Банк») </w:t>
      </w:r>
    </w:p>
    <w:p w:rsidR="00837F20" w:rsidRPr="00842AFE" w:rsidRDefault="00AF08E2" w:rsidP="00837F20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AFE">
        <w:rPr>
          <w:rFonts w:ascii="Times New Roman" w:hAnsi="Times New Roman" w:cs="Times New Roman"/>
          <w:color w:val="292B2C"/>
          <w:sz w:val="24"/>
          <w:szCs w:val="24"/>
        </w:rPr>
        <w:t>немає технічної</w:t>
      </w:r>
      <w:r w:rsidRPr="00842AFE">
        <w:rPr>
          <w:rFonts w:ascii="Times New Roman" w:hAnsi="Times New Roman" w:cs="Times New Roman"/>
          <w:sz w:val="24"/>
          <w:szCs w:val="24"/>
        </w:rPr>
        <w:t xml:space="preserve"> можливості розмістити інформацію на </w:t>
      </w: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cайті SMIDA за посиланням </w:t>
      </w:r>
      <w:hyperlink r:id="rId8" w:history="1">
        <w:r w:rsidRPr="00842AFE">
          <w:rPr>
            <w:rFonts w:ascii="Times New Roman" w:hAnsi="Times New Roman" w:cs="Times New Roman"/>
            <w:color w:val="292B2C"/>
            <w:sz w:val="24"/>
            <w:szCs w:val="24"/>
          </w:rPr>
          <w:t>https://cabinet.smida.gov.ua/registration</w:t>
        </w:r>
      </w:hyperlink>
      <w:r w:rsidRPr="00842AFE">
        <w:rPr>
          <w:rFonts w:ascii="Times New Roman" w:hAnsi="Times New Roman" w:cs="Times New Roman"/>
          <w:color w:val="292B2C"/>
          <w:sz w:val="24"/>
          <w:szCs w:val="24"/>
        </w:rPr>
        <w:t>, так як від юридичн</w:t>
      </w:r>
      <w:r w:rsidR="00837F20" w:rsidRPr="00842AFE">
        <w:rPr>
          <w:rFonts w:ascii="Times New Roman" w:hAnsi="Times New Roman" w:cs="Times New Roman"/>
          <w:color w:val="292B2C"/>
          <w:sz w:val="24"/>
          <w:szCs w:val="24"/>
        </w:rPr>
        <w:t>их</w:t>
      </w: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 ос</w:t>
      </w:r>
      <w:r w:rsidR="00837F20" w:rsidRPr="00842AFE">
        <w:rPr>
          <w:rFonts w:ascii="Times New Roman" w:hAnsi="Times New Roman" w:cs="Times New Roman"/>
          <w:color w:val="292B2C"/>
          <w:sz w:val="24"/>
          <w:szCs w:val="24"/>
        </w:rPr>
        <w:t>і</w:t>
      </w: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б вимагається заповнення ідентифікаційного бланку, а також підтвердження цієї інформації кваліфікованим електронним підписом та </w:t>
      </w:r>
      <w:r w:rsidRPr="00842AFE">
        <w:rPr>
          <w:rFonts w:ascii="Times New Roman" w:hAnsi="Times New Roman" w:cs="Times New Roman"/>
          <w:b/>
          <w:color w:val="292B2C"/>
          <w:sz w:val="24"/>
          <w:szCs w:val="24"/>
        </w:rPr>
        <w:t>кваліфікованою електронною печаткою</w:t>
      </w: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, та </w:t>
      </w:r>
    </w:p>
    <w:p w:rsidR="00837F20" w:rsidRPr="00842AFE" w:rsidRDefault="00AF08E2" w:rsidP="00837F20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працює без печатки, </w:t>
      </w:r>
      <w:r w:rsidR="00837F20" w:rsidRPr="00842AFE">
        <w:rPr>
          <w:rFonts w:ascii="Times New Roman" w:hAnsi="Times New Roman" w:cs="Times New Roman"/>
          <w:color w:val="292B2C"/>
          <w:sz w:val="24"/>
          <w:szCs w:val="24"/>
        </w:rPr>
        <w:t>про що зазначено у статуту Банку</w:t>
      </w:r>
      <w:r w:rsidR="00842AFE" w:rsidRPr="00842AFE">
        <w:rPr>
          <w:rFonts w:ascii="Times New Roman" w:hAnsi="Times New Roman" w:cs="Times New Roman"/>
          <w:color w:val="292B2C"/>
          <w:sz w:val="24"/>
          <w:szCs w:val="24"/>
        </w:rPr>
        <w:t>, та</w:t>
      </w:r>
    </w:p>
    <w:p w:rsidR="00842AFE" w:rsidRPr="00842AFE" w:rsidRDefault="00842AFE" w:rsidP="00837F20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направив 08.04.2019р. запит </w:t>
      </w:r>
      <w:r w:rsidR="00AF08E2"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до НКЦПФР з описанням цієї проблеми, </w:t>
      </w:r>
      <w:r w:rsidR="00837F20" w:rsidRPr="00842AFE">
        <w:rPr>
          <w:rFonts w:ascii="Times New Roman" w:hAnsi="Times New Roman" w:cs="Times New Roman"/>
          <w:color w:val="292B2C"/>
          <w:sz w:val="24"/>
          <w:szCs w:val="24"/>
        </w:rPr>
        <w:t xml:space="preserve">на який поки що не отримав відповідь, </w:t>
      </w:r>
    </w:p>
    <w:p w:rsidR="00AF08E2" w:rsidRPr="00566B16" w:rsidRDefault="00842AFE" w:rsidP="00842AFE">
      <w:pPr>
        <w:ind w:left="360"/>
        <w:jc w:val="both"/>
        <w:rPr>
          <w:lang w:val="ru-RU"/>
        </w:rPr>
      </w:pPr>
      <w:r w:rsidRPr="00842AFE">
        <w:rPr>
          <w:color w:val="292B2C"/>
          <w:lang w:val="uk-UA"/>
        </w:rPr>
        <w:t xml:space="preserve">тому </w:t>
      </w:r>
      <w:r w:rsidR="00AF08E2" w:rsidRPr="00016116">
        <w:rPr>
          <w:color w:val="292B2C"/>
          <w:lang w:val="uk-UA"/>
        </w:rPr>
        <w:t xml:space="preserve">направляємо Вам наступну особливу інформацію, що зазначена нижче, на виконання </w:t>
      </w:r>
      <w:r w:rsidR="00AF08E2" w:rsidRPr="00016116">
        <w:rPr>
          <w:lang w:val="uk-UA"/>
        </w:rPr>
        <w:t>Положення про розкриття інформації емітентами цінних паперів, затвердженого НКЦПФР № 2826 від 03.12.2013р. Також окремо направлений цей файл на носії інформації з електронним підписом</w:t>
      </w:r>
      <w:r w:rsidR="00566B16">
        <w:rPr>
          <w:lang w:val="uk-UA"/>
        </w:rPr>
        <w:t xml:space="preserve"> (в форматі </w:t>
      </w:r>
      <w:r w:rsidR="00566B16">
        <w:t>word</w:t>
      </w:r>
      <w:r w:rsidR="00566B16" w:rsidRPr="00016116">
        <w:rPr>
          <w:lang w:val="uk-UA"/>
        </w:rPr>
        <w:t xml:space="preserve"> </w:t>
      </w:r>
      <w:r w:rsidR="00566B16">
        <w:rPr>
          <w:lang w:val="uk-UA"/>
        </w:rPr>
        <w:t xml:space="preserve">та </w:t>
      </w:r>
      <w:r w:rsidR="00566B16">
        <w:t>xml</w:t>
      </w:r>
      <w:r w:rsidR="00566B16">
        <w:rPr>
          <w:lang w:val="uk-UA"/>
        </w:rPr>
        <w:t>)</w:t>
      </w:r>
      <w:r w:rsidR="00AF08E2" w:rsidRPr="00016116">
        <w:rPr>
          <w:lang w:val="uk-UA"/>
        </w:rPr>
        <w:t xml:space="preserve">. </w:t>
      </w:r>
      <w:r w:rsidR="00566B16">
        <w:rPr>
          <w:lang w:val="uk-UA"/>
        </w:rPr>
        <w:t xml:space="preserve">Також Вам відправлена особлива інформація Банку від 25.04.2019р. в форматі </w:t>
      </w:r>
      <w:r w:rsidR="00566B16">
        <w:t>xml</w:t>
      </w:r>
      <w:r w:rsidR="00566B16" w:rsidRPr="00566B16">
        <w:rPr>
          <w:lang w:val="ru-RU"/>
        </w:rPr>
        <w:t xml:space="preserve">. </w:t>
      </w:r>
    </w:p>
    <w:p w:rsidR="00CF14A4" w:rsidRPr="00842AFE" w:rsidRDefault="00CD78B2" w:rsidP="00AF08E2">
      <w:pPr>
        <w:rPr>
          <w:sz w:val="18"/>
          <w:szCs w:val="18"/>
          <w:lang w:val="uk-UA"/>
        </w:rPr>
      </w:pP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Pr="00842AFE">
        <w:rPr>
          <w:sz w:val="18"/>
          <w:szCs w:val="18"/>
          <w:lang w:val="uk-UA"/>
        </w:rPr>
        <w:tab/>
      </w:r>
      <w:r w:rsidR="00A62C37" w:rsidRPr="00842AFE">
        <w:rPr>
          <w:sz w:val="18"/>
          <w:szCs w:val="18"/>
          <w:lang w:val="uk-UA"/>
        </w:rPr>
        <w:tab/>
      </w:r>
    </w:p>
    <w:p w:rsidR="00CF14A4" w:rsidRPr="00842AFE" w:rsidRDefault="00CF14A4" w:rsidP="004D5B0D">
      <w:pPr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>1.Загальні відомості: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 xml:space="preserve">1.1. Повне найменування емітента: </w:t>
      </w:r>
      <w:r w:rsidR="004827B6" w:rsidRPr="00842AFE">
        <w:rPr>
          <w:sz w:val="16"/>
          <w:szCs w:val="16"/>
          <w:lang w:val="uk-UA"/>
        </w:rPr>
        <w:t>А</w:t>
      </w:r>
      <w:r w:rsidRPr="00842AFE">
        <w:rPr>
          <w:sz w:val="16"/>
          <w:szCs w:val="16"/>
          <w:lang w:val="uk-UA"/>
        </w:rPr>
        <w:t>кціонерне товариство ”Дойче Банк ДБУ”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 xml:space="preserve">1.2. Організаційно-правова форма емітента: </w:t>
      </w:r>
      <w:r w:rsidR="00777B81" w:rsidRPr="00842AFE">
        <w:rPr>
          <w:sz w:val="16"/>
          <w:szCs w:val="16"/>
          <w:lang w:val="uk-UA"/>
        </w:rPr>
        <w:t>приватне</w:t>
      </w:r>
      <w:r w:rsidRPr="00842AFE">
        <w:rPr>
          <w:sz w:val="16"/>
          <w:szCs w:val="16"/>
          <w:lang w:val="uk-UA"/>
        </w:rPr>
        <w:t xml:space="preserve"> акціонерне товариство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>1.3. Ідентифікаційний код за ЄДРПОУ емітента: 36520434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>1.4. Місцезнаходження емітента:  01015, м.</w:t>
      </w:r>
      <w:r w:rsidR="00F075A3" w:rsidRPr="00842AFE">
        <w:rPr>
          <w:sz w:val="16"/>
          <w:szCs w:val="16"/>
          <w:lang w:val="uk-UA"/>
        </w:rPr>
        <w:t xml:space="preserve"> </w:t>
      </w:r>
      <w:r w:rsidRPr="00842AFE">
        <w:rPr>
          <w:sz w:val="16"/>
          <w:szCs w:val="16"/>
          <w:lang w:val="uk-UA"/>
        </w:rPr>
        <w:t xml:space="preserve">Київ, вулиця </w:t>
      </w:r>
      <w:r w:rsidR="00BD7F92" w:rsidRPr="00842AFE">
        <w:rPr>
          <w:sz w:val="16"/>
          <w:szCs w:val="16"/>
          <w:lang w:val="uk-UA"/>
        </w:rPr>
        <w:t>Лаврська</w:t>
      </w:r>
      <w:r w:rsidRPr="00842AFE">
        <w:rPr>
          <w:sz w:val="16"/>
          <w:szCs w:val="16"/>
          <w:lang w:val="uk-UA"/>
        </w:rPr>
        <w:t xml:space="preserve">, будинок </w:t>
      </w:r>
      <w:r w:rsidR="00BD7F92" w:rsidRPr="00842AFE">
        <w:rPr>
          <w:sz w:val="16"/>
          <w:szCs w:val="16"/>
          <w:lang w:val="uk-UA"/>
        </w:rPr>
        <w:t>20</w:t>
      </w:r>
      <w:r w:rsidRPr="00842AFE">
        <w:rPr>
          <w:sz w:val="16"/>
          <w:szCs w:val="16"/>
          <w:lang w:val="uk-UA"/>
        </w:rPr>
        <w:t>.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>1.5. Міжміський код, телефон т</w:t>
      </w:r>
      <w:r w:rsidR="00BD7F92" w:rsidRPr="00842AFE">
        <w:rPr>
          <w:sz w:val="16"/>
          <w:szCs w:val="16"/>
          <w:lang w:val="uk-UA"/>
        </w:rPr>
        <w:t>а факс емітента: +38044-</w:t>
      </w:r>
      <w:r w:rsidR="00B0591B" w:rsidRPr="00842AFE">
        <w:rPr>
          <w:sz w:val="16"/>
          <w:szCs w:val="16"/>
          <w:lang w:val="uk-UA"/>
        </w:rPr>
        <w:t>461</w:t>
      </w:r>
      <w:r w:rsidR="00925C81" w:rsidRPr="00842AFE">
        <w:rPr>
          <w:sz w:val="16"/>
          <w:szCs w:val="16"/>
          <w:lang w:val="uk-UA"/>
        </w:rPr>
        <w:t>-</w:t>
      </w:r>
      <w:r w:rsidR="00B0591B" w:rsidRPr="00842AFE">
        <w:rPr>
          <w:sz w:val="16"/>
          <w:szCs w:val="16"/>
          <w:lang w:val="uk-UA"/>
        </w:rPr>
        <w:t>15</w:t>
      </w:r>
      <w:r w:rsidR="00925C81" w:rsidRPr="00842AFE">
        <w:rPr>
          <w:sz w:val="16"/>
          <w:szCs w:val="16"/>
          <w:lang w:val="uk-UA"/>
        </w:rPr>
        <w:t>-</w:t>
      </w:r>
      <w:r w:rsidR="00B0591B" w:rsidRPr="00842AFE">
        <w:rPr>
          <w:sz w:val="16"/>
          <w:szCs w:val="16"/>
          <w:lang w:val="uk-UA"/>
        </w:rPr>
        <w:t>00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 xml:space="preserve">1.6. Електронна поштова адреса емітента: </w:t>
      </w:r>
      <w:r w:rsidR="00132E43" w:rsidRPr="00842AFE">
        <w:rPr>
          <w:sz w:val="16"/>
          <w:szCs w:val="16"/>
          <w:lang w:val="uk-UA"/>
        </w:rPr>
        <w:t>yaroslav</w:t>
      </w:r>
      <w:r w:rsidRPr="00842AFE">
        <w:rPr>
          <w:sz w:val="16"/>
          <w:szCs w:val="16"/>
          <w:lang w:val="uk-UA"/>
        </w:rPr>
        <w:t>.</w:t>
      </w:r>
      <w:r w:rsidR="00132E43" w:rsidRPr="00842AFE">
        <w:rPr>
          <w:sz w:val="16"/>
          <w:szCs w:val="16"/>
          <w:lang w:val="uk-UA"/>
        </w:rPr>
        <w:t>romanenko</w:t>
      </w:r>
      <w:r w:rsidRPr="00842AFE">
        <w:rPr>
          <w:sz w:val="16"/>
          <w:szCs w:val="16"/>
          <w:lang w:val="uk-UA"/>
        </w:rPr>
        <w:t>@db.com</w:t>
      </w:r>
    </w:p>
    <w:p w:rsidR="00ED65F1" w:rsidRPr="00842AFE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842AFE">
        <w:rPr>
          <w:sz w:val="16"/>
          <w:szCs w:val="16"/>
          <w:lang w:val="uk-UA"/>
        </w:rPr>
        <w:t xml:space="preserve">1.7. Адреса сторінки в мережі Інтернет, яка додатково використовується емітентом для розкриття інформації: </w:t>
      </w:r>
      <w:r w:rsidR="00E430DE" w:rsidRPr="00842AFE">
        <w:rPr>
          <w:sz w:val="16"/>
          <w:szCs w:val="16"/>
          <w:lang w:val="uk-UA"/>
        </w:rPr>
        <w:t>https://www.db.com/ukraine/en/content/general-documents.html</w:t>
      </w:r>
    </w:p>
    <w:p w:rsidR="00CF14A4" w:rsidRPr="00842AFE" w:rsidRDefault="00ED65F1" w:rsidP="00AD6AFB">
      <w:pPr>
        <w:autoSpaceDE w:val="0"/>
        <w:autoSpaceDN w:val="0"/>
        <w:adjustRightInd w:val="0"/>
        <w:jc w:val="both"/>
        <w:rPr>
          <w:sz w:val="18"/>
          <w:szCs w:val="18"/>
          <w:lang w:val="uk-UA"/>
        </w:rPr>
      </w:pPr>
      <w:r w:rsidRPr="00842AFE">
        <w:rPr>
          <w:sz w:val="16"/>
          <w:szCs w:val="16"/>
          <w:lang w:val="uk-UA"/>
        </w:rPr>
        <w:t xml:space="preserve">1.8. Вид особливої інформації: </w:t>
      </w:r>
      <w:r w:rsidR="001C43DF" w:rsidRPr="00842AFE">
        <w:rPr>
          <w:sz w:val="16"/>
          <w:szCs w:val="16"/>
          <w:lang w:val="uk-UA"/>
        </w:rPr>
        <w:t xml:space="preserve">відомості про прийняття рішення про </w:t>
      </w:r>
      <w:r w:rsidR="00C00198" w:rsidRPr="00842AFE">
        <w:rPr>
          <w:sz w:val="16"/>
          <w:szCs w:val="16"/>
          <w:lang w:val="uk-UA"/>
        </w:rPr>
        <w:t>зміни складу посадових осіб емітента, прийняття рішення про розміщення цінних паперів на суму, що перевищує 10 відсотків статутного капіталу, прийняття рішення про попереднє надання згоди на вчинення значних правочинів</w:t>
      </w:r>
    </w:p>
    <w:p w:rsidR="00CF14A4" w:rsidRPr="00842AFE" w:rsidRDefault="00CF14A4" w:rsidP="004D5B0D">
      <w:pPr>
        <w:autoSpaceDE w:val="0"/>
        <w:autoSpaceDN w:val="0"/>
        <w:adjustRightInd w:val="0"/>
        <w:jc w:val="center"/>
        <w:rPr>
          <w:sz w:val="18"/>
          <w:szCs w:val="18"/>
          <w:lang w:val="uk-UA"/>
        </w:rPr>
      </w:pPr>
      <w:r w:rsidRPr="00842AFE">
        <w:rPr>
          <w:sz w:val="18"/>
          <w:szCs w:val="18"/>
          <w:lang w:val="uk-UA"/>
        </w:rPr>
        <w:t>2.Текст повідомлення:</w:t>
      </w:r>
    </w:p>
    <w:p w:rsidR="00B720F9" w:rsidRPr="00842AFE" w:rsidRDefault="00B720F9" w:rsidP="00DE5E3E">
      <w:pPr>
        <w:autoSpaceDE w:val="0"/>
        <w:autoSpaceDN w:val="0"/>
        <w:spacing w:line="276" w:lineRule="auto"/>
        <w:jc w:val="both"/>
        <w:rPr>
          <w:sz w:val="16"/>
          <w:szCs w:val="16"/>
          <w:lang w:val="uk-UA"/>
        </w:rPr>
      </w:pPr>
    </w:p>
    <w:p w:rsidR="00204BEB" w:rsidRPr="00842AFE" w:rsidRDefault="00204BEB" w:rsidP="008E2C98">
      <w:pPr>
        <w:pStyle w:val="ListParagraph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AFE">
        <w:rPr>
          <w:rFonts w:ascii="Times New Roman" w:hAnsi="Times New Roman" w:cs="Times New Roman"/>
          <w:b/>
          <w:sz w:val="24"/>
          <w:szCs w:val="24"/>
        </w:rPr>
        <w:t>Відомості про зміну складу посадових осіб емітента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2000"/>
        <w:gridCol w:w="5340"/>
        <w:gridCol w:w="1701"/>
        <w:gridCol w:w="1701"/>
        <w:gridCol w:w="1388"/>
      </w:tblGrid>
      <w:tr w:rsidR="00204BEB" w:rsidRPr="00016116" w:rsidTr="009406E8">
        <w:tc>
          <w:tcPr>
            <w:tcW w:w="272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Дата вчинення дії</w:t>
            </w:r>
          </w:p>
        </w:tc>
        <w:tc>
          <w:tcPr>
            <w:tcW w:w="200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534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701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1701" w:type="dxa"/>
          </w:tcPr>
          <w:p w:rsidR="00204BEB" w:rsidRPr="00842AFE" w:rsidRDefault="00842AFE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1388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204BEB" w:rsidRPr="00842AFE" w:rsidTr="009406E8">
        <w:tc>
          <w:tcPr>
            <w:tcW w:w="272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0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40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388" w:type="dxa"/>
          </w:tcPr>
          <w:p w:rsidR="00204BEB" w:rsidRPr="00842AFE" w:rsidRDefault="00204BEB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6</w:t>
            </w:r>
          </w:p>
        </w:tc>
      </w:tr>
      <w:tr w:rsidR="00842AFE" w:rsidRPr="00842AFE" w:rsidTr="009406E8">
        <w:trPr>
          <w:trHeight w:val="553"/>
        </w:trPr>
        <w:tc>
          <w:tcPr>
            <w:tcW w:w="2720" w:type="dxa"/>
          </w:tcPr>
          <w:p w:rsidR="00842AFE" w:rsidRPr="009406E8" w:rsidRDefault="00842AFE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lastRenderedPageBreak/>
              <w:t>2</w:t>
            </w:r>
            <w:r w:rsidR="009406E8" w:rsidRPr="009406E8">
              <w:rPr>
                <w:sz w:val="20"/>
                <w:szCs w:val="20"/>
                <w:lang w:val="uk-UA"/>
              </w:rPr>
              <w:t>6</w:t>
            </w:r>
            <w:r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95224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Голова Наглядової ради (представника акціонера ДБ АГ)</w:t>
            </w:r>
          </w:p>
        </w:tc>
        <w:tc>
          <w:tcPr>
            <w:tcW w:w="1701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Йорг Бонгартц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842AFE" w:rsidRPr="00842AFE" w:rsidTr="009406E8">
        <w:tc>
          <w:tcPr>
            <w:tcW w:w="2720" w:type="dxa"/>
          </w:tcPr>
          <w:p w:rsidR="00842AFE" w:rsidRPr="009406E8" w:rsidRDefault="009406E8" w:rsidP="00842AFE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</w:t>
            </w:r>
            <w:r w:rsidR="00842AFE"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9406E8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о</w:t>
            </w:r>
            <w:r w:rsidR="00842AFE" w:rsidRPr="009406E8">
              <w:rPr>
                <w:sz w:val="20"/>
                <w:szCs w:val="20"/>
                <w:lang w:val="uk-UA"/>
              </w:rPr>
              <w:t>брано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Голова Наглядової ради (представника акціонера ДБ АГ)</w:t>
            </w:r>
          </w:p>
        </w:tc>
        <w:tc>
          <w:tcPr>
            <w:tcW w:w="1701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Йорг Бонгартц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842AFE" w:rsidRPr="00842AFE" w:rsidTr="009406E8">
        <w:tc>
          <w:tcPr>
            <w:tcW w:w="2720" w:type="dxa"/>
          </w:tcPr>
          <w:p w:rsidR="00842AFE" w:rsidRPr="009406E8" w:rsidRDefault="009406E8" w:rsidP="00842AFE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</w:t>
            </w:r>
            <w:r w:rsidR="00842AFE"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95224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Заступник Голови Наглядової ради (представника акціонера ДБ АГ)</w:t>
            </w:r>
          </w:p>
        </w:tc>
        <w:tc>
          <w:tcPr>
            <w:tcW w:w="1701" w:type="dxa"/>
          </w:tcPr>
          <w:p w:rsidR="00842AFE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Беате Рамона Хофманн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842AFE" w:rsidRPr="00842AFE" w:rsidTr="009406E8">
        <w:tc>
          <w:tcPr>
            <w:tcW w:w="2720" w:type="dxa"/>
          </w:tcPr>
          <w:p w:rsidR="00842AFE" w:rsidRPr="009406E8" w:rsidRDefault="009406E8" w:rsidP="00842AFE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</w:t>
            </w:r>
            <w:r w:rsidR="00842AFE"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842AF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Заступник Голови Наглядової ради (представника акціонера ДБ АГ)</w:t>
            </w:r>
          </w:p>
        </w:tc>
        <w:tc>
          <w:tcPr>
            <w:tcW w:w="1701" w:type="dxa"/>
          </w:tcPr>
          <w:p w:rsidR="00842AFE" w:rsidRPr="009406E8" w:rsidRDefault="009406E8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Беате Рамона Хофманн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842AFE" w:rsidRPr="00842AFE" w:rsidTr="009406E8">
        <w:tc>
          <w:tcPr>
            <w:tcW w:w="2720" w:type="dxa"/>
          </w:tcPr>
          <w:p w:rsidR="00842AFE" w:rsidRPr="009406E8" w:rsidRDefault="009406E8" w:rsidP="00842AFE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</w:t>
            </w:r>
            <w:r w:rsidR="00842AFE"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95224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842AFE" w:rsidRPr="009406E8" w:rsidRDefault="009406E8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Маттіаса Бьом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842AFE" w:rsidRPr="00842AFE" w:rsidTr="009406E8">
        <w:tc>
          <w:tcPr>
            <w:tcW w:w="2720" w:type="dxa"/>
          </w:tcPr>
          <w:p w:rsidR="00842AFE" w:rsidRPr="009406E8" w:rsidRDefault="009406E8" w:rsidP="00842AFE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</w:t>
            </w:r>
            <w:r w:rsidR="00842AFE" w:rsidRPr="009406E8">
              <w:rPr>
                <w:sz w:val="20"/>
                <w:szCs w:val="20"/>
                <w:lang w:val="uk-UA"/>
              </w:rPr>
              <w:t>.04.2018р.</w:t>
            </w:r>
          </w:p>
        </w:tc>
        <w:tc>
          <w:tcPr>
            <w:tcW w:w="2000" w:type="dxa"/>
          </w:tcPr>
          <w:p w:rsidR="00842AFE" w:rsidRPr="009406E8" w:rsidRDefault="00842AF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5340" w:type="dxa"/>
          </w:tcPr>
          <w:p w:rsidR="00842AFE" w:rsidRPr="009406E8" w:rsidRDefault="00842AFE" w:rsidP="00842AFE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842AFE" w:rsidRPr="009406E8" w:rsidRDefault="009406E8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Маттіаса Бьом</w:t>
            </w:r>
          </w:p>
        </w:tc>
        <w:tc>
          <w:tcPr>
            <w:tcW w:w="1701" w:type="dxa"/>
          </w:tcPr>
          <w:p w:rsidR="00842AFE" w:rsidRPr="009406E8" w:rsidRDefault="00842AFE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842AFE" w:rsidRPr="009406E8" w:rsidRDefault="00842AFE" w:rsidP="00842AFE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9406E8" w:rsidRPr="00842AFE" w:rsidTr="009406E8">
        <w:tc>
          <w:tcPr>
            <w:tcW w:w="2720" w:type="dxa"/>
          </w:tcPr>
          <w:p w:rsidR="009406E8" w:rsidRPr="009406E8" w:rsidRDefault="009406E8" w:rsidP="009406E8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26.04.2018р.</w:t>
            </w:r>
          </w:p>
        </w:tc>
        <w:tc>
          <w:tcPr>
            <w:tcW w:w="2000" w:type="dxa"/>
          </w:tcPr>
          <w:p w:rsidR="009406E8" w:rsidRPr="009406E8" w:rsidRDefault="0095224E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5340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 xml:space="preserve">Дітмар Герхард Штюдеманн 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jc w:val="center"/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9406E8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9406E8" w:rsidRPr="00842AFE" w:rsidTr="009406E8">
        <w:tc>
          <w:tcPr>
            <w:tcW w:w="2720" w:type="dxa"/>
          </w:tcPr>
          <w:p w:rsidR="009406E8" w:rsidRPr="009406E8" w:rsidRDefault="009406E8" w:rsidP="009406E8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26.04.2018р.</w:t>
            </w:r>
          </w:p>
        </w:tc>
        <w:tc>
          <w:tcPr>
            <w:tcW w:w="2000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5340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 xml:space="preserve">Дітмар Герхард Штюдеманн 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jc w:val="center"/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9406E8" w:rsidRPr="00842AFE" w:rsidTr="009406E8">
        <w:tc>
          <w:tcPr>
            <w:tcW w:w="2720" w:type="dxa"/>
          </w:tcPr>
          <w:p w:rsidR="009406E8" w:rsidRPr="009406E8" w:rsidRDefault="009406E8" w:rsidP="009406E8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26.04.2018р.</w:t>
            </w:r>
          </w:p>
        </w:tc>
        <w:tc>
          <w:tcPr>
            <w:tcW w:w="2000" w:type="dxa"/>
          </w:tcPr>
          <w:p w:rsidR="009406E8" w:rsidRPr="009406E8" w:rsidRDefault="0095224E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842AF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5340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rFonts w:eastAsia="Calibri"/>
                <w:sz w:val="20"/>
                <w:szCs w:val="20"/>
                <w:lang w:val="uk-UA"/>
              </w:rPr>
              <w:t>Дінев Пенко Стефанов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jc w:val="center"/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9406E8" w:rsidRPr="00842AFE" w:rsidTr="009406E8">
        <w:tc>
          <w:tcPr>
            <w:tcW w:w="2720" w:type="dxa"/>
          </w:tcPr>
          <w:p w:rsidR="009406E8" w:rsidRPr="009406E8" w:rsidRDefault="009406E8" w:rsidP="009406E8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26.04.2018р.</w:t>
            </w:r>
          </w:p>
        </w:tc>
        <w:tc>
          <w:tcPr>
            <w:tcW w:w="2000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5340" w:type="dxa"/>
          </w:tcPr>
          <w:p w:rsidR="009406E8" w:rsidRPr="009406E8" w:rsidRDefault="009406E8" w:rsidP="009406E8">
            <w:pPr>
              <w:jc w:val="center"/>
              <w:rPr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член Наглядової ради (незалежний)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spacing w:after="20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rFonts w:eastAsia="Calibri"/>
                <w:sz w:val="20"/>
                <w:szCs w:val="20"/>
                <w:lang w:val="uk-UA"/>
              </w:rPr>
              <w:t>Дінев Пенко Стефанов</w:t>
            </w:r>
          </w:p>
        </w:tc>
        <w:tc>
          <w:tcPr>
            <w:tcW w:w="1701" w:type="dxa"/>
          </w:tcPr>
          <w:p w:rsidR="009406E8" w:rsidRPr="009406E8" w:rsidRDefault="009406E8" w:rsidP="009406E8">
            <w:pPr>
              <w:jc w:val="center"/>
            </w:pPr>
            <w:r w:rsidRPr="009406E8">
              <w:rPr>
                <w:sz w:val="20"/>
                <w:szCs w:val="20"/>
                <w:lang w:val="uk-UA"/>
              </w:rPr>
              <w:t>36520434</w:t>
            </w:r>
          </w:p>
        </w:tc>
        <w:tc>
          <w:tcPr>
            <w:tcW w:w="1388" w:type="dxa"/>
          </w:tcPr>
          <w:p w:rsidR="009406E8" w:rsidRPr="009406E8" w:rsidRDefault="009406E8" w:rsidP="009406E8">
            <w:pPr>
              <w:jc w:val="center"/>
              <w:rPr>
                <w:sz w:val="20"/>
                <w:szCs w:val="20"/>
                <w:lang w:val="uk-UA"/>
              </w:rPr>
            </w:pPr>
            <w:r w:rsidRPr="009406E8">
              <w:rPr>
                <w:sz w:val="20"/>
                <w:szCs w:val="20"/>
                <w:lang w:val="uk-UA"/>
              </w:rPr>
              <w:t>немає</w:t>
            </w:r>
          </w:p>
        </w:tc>
      </w:tr>
    </w:tbl>
    <w:p w:rsidR="00204BEB" w:rsidRPr="00842AFE" w:rsidRDefault="00204BEB" w:rsidP="00204BEB">
      <w:pPr>
        <w:pStyle w:val="Ch6"/>
        <w:jc w:val="center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204BEB" w:rsidRPr="00842AFE" w:rsidTr="00C82F5E">
        <w:trPr>
          <w:trHeight w:val="60"/>
        </w:trPr>
        <w:tc>
          <w:tcPr>
            <w:tcW w:w="14992" w:type="dxa"/>
            <w:shd w:val="clear" w:color="auto" w:fill="auto"/>
          </w:tcPr>
          <w:p w:rsidR="00204BEB" w:rsidRPr="00842AFE" w:rsidRDefault="00204BEB" w:rsidP="00C82F5E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  <w:highlight w:val="yellow"/>
              </w:rPr>
            </w:pPr>
            <w:r w:rsidRPr="0095224E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204BEB" w:rsidRPr="00016116" w:rsidTr="00C82F5E">
        <w:trPr>
          <w:trHeight w:val="60"/>
        </w:trPr>
        <w:tc>
          <w:tcPr>
            <w:tcW w:w="14992" w:type="dxa"/>
            <w:shd w:val="clear" w:color="auto" w:fill="auto"/>
          </w:tcPr>
          <w:p w:rsidR="00204BEB" w:rsidRPr="0095224E" w:rsidRDefault="00204BEB" w:rsidP="00C82F5E">
            <w:p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>2</w:t>
            </w:r>
            <w:r w:rsidR="009406E8" w:rsidRPr="0095224E">
              <w:rPr>
                <w:sz w:val="20"/>
                <w:szCs w:val="20"/>
                <w:lang w:val="uk-UA"/>
              </w:rPr>
              <w:t>6</w:t>
            </w:r>
            <w:r w:rsidRPr="0095224E">
              <w:rPr>
                <w:sz w:val="20"/>
                <w:szCs w:val="20"/>
                <w:lang w:val="uk-UA"/>
              </w:rPr>
              <w:t xml:space="preserve"> квітня 2019 </w:t>
            </w:r>
            <w:r w:rsidRPr="0095224E">
              <w:rPr>
                <w:rFonts w:eastAsiaTheme="minorHAnsi"/>
                <w:sz w:val="20"/>
                <w:szCs w:val="20"/>
                <w:lang w:val="uk-UA"/>
              </w:rPr>
              <w:t>року прийняте Рішення № 28 акціонера (ДОЙЧЕ БАНК АКЦІЄНҐЕЗЕЛЬШАФТ, надалі – «Акціонер») Акціонерного товариства «Дойче Банк ДБУ» (надалі – «Банк»), згідно якого прийняті, окрім іншого</w:t>
            </w:r>
            <w:r w:rsidRPr="0095224E">
              <w:rPr>
                <w:sz w:val="20"/>
                <w:szCs w:val="20"/>
                <w:lang w:val="uk-UA"/>
              </w:rPr>
              <w:t>, наступні рішення:</w:t>
            </w:r>
          </w:p>
          <w:p w:rsidR="00204BEB" w:rsidRPr="0095224E" w:rsidRDefault="00204BEB" w:rsidP="00204BE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24E">
              <w:rPr>
                <w:rFonts w:ascii="Times New Roman" w:hAnsi="Times New Roman" w:cs="Times New Roman"/>
                <w:sz w:val="20"/>
                <w:szCs w:val="20"/>
              </w:rPr>
              <w:t>відкликати (припинити повноваження) членів Наглядової Ради Банку:</w:t>
            </w:r>
          </w:p>
          <w:p w:rsidR="00204BEB" w:rsidRPr="0095224E" w:rsidRDefault="00204BEB" w:rsidP="00204BEB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>Йорга Бонгартца, Голови Наглядової Ради (представник єдиного акціонера – Дойче Банк АГ),</w:t>
            </w:r>
          </w:p>
          <w:p w:rsidR="00204BEB" w:rsidRPr="0095224E" w:rsidRDefault="00204BEB" w:rsidP="00204BEB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>Беати Рамона Хофманн, заступника Голови Наглядової Ради (представник єдиного акціонера – Дойче Банк АГ),</w:t>
            </w:r>
          </w:p>
          <w:p w:rsidR="00204BEB" w:rsidRPr="0095224E" w:rsidRDefault="00204BEB" w:rsidP="00204BEB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>Маттіаса Бьома, члена Наглядової ради (незалежний);</w:t>
            </w:r>
          </w:p>
          <w:p w:rsidR="00204BEB" w:rsidRPr="0095224E" w:rsidRDefault="00204BEB" w:rsidP="00204BEB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>Дінева Пенко Стефанова, члена Наглядової ради (незалежний),</w:t>
            </w:r>
          </w:p>
          <w:p w:rsidR="00204BEB" w:rsidRPr="0095224E" w:rsidRDefault="00204BEB" w:rsidP="00204BEB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  <w:lang w:val="uk-UA"/>
              </w:rPr>
            </w:pPr>
            <w:r w:rsidRPr="0095224E">
              <w:rPr>
                <w:sz w:val="20"/>
                <w:szCs w:val="20"/>
                <w:lang w:val="uk-UA"/>
              </w:rPr>
              <w:t xml:space="preserve">Дітмара Герхарда Штюдеманна, члена Наглядової ради (незалежний), та </w:t>
            </w:r>
          </w:p>
          <w:p w:rsidR="00204BEB" w:rsidRPr="00842AFE" w:rsidRDefault="00204BEB" w:rsidP="00204BEB">
            <w:pPr>
              <w:ind w:left="1080"/>
              <w:jc w:val="both"/>
              <w:rPr>
                <w:sz w:val="20"/>
                <w:szCs w:val="20"/>
                <w:highlight w:val="yellow"/>
                <w:lang w:val="uk-UA"/>
              </w:rPr>
            </w:pPr>
          </w:p>
          <w:p w:rsidR="00204BEB" w:rsidRPr="009945BB" w:rsidRDefault="00204BEB" w:rsidP="00204BE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5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обрати (переобрати) зазначених вище осіб членами Наглядової ради Банку (з максимальним строком повноважень, передбаченим законодавством):</w:t>
            </w:r>
          </w:p>
          <w:p w:rsidR="00204BEB" w:rsidRPr="009945BB" w:rsidRDefault="00204BEB" w:rsidP="00204BEB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 xml:space="preserve">Йорга Бонгартца - Головою Наглядової ради (представник єдиного акціонера – Дойче Банк АГ) (паспортні відомості: відсутній дозвіл особи про розкриття паспортних даних. Перебуває на посаді Голови Наглядової ради Банку з 21.03.2018р. Інші посади, що обіймав/обіймає Йорга Бонгартц протягом останніх 5 років:  </w:t>
            </w:r>
            <w:r w:rsidR="006B0A84" w:rsidRPr="009945BB">
              <w:rPr>
                <w:sz w:val="20"/>
                <w:szCs w:val="20"/>
                <w:lang w:val="uk-UA"/>
              </w:rPr>
              <w:t xml:space="preserve">з </w:t>
            </w:r>
            <w:r w:rsidR="001529BC" w:rsidRPr="009945BB">
              <w:rPr>
                <w:sz w:val="20"/>
                <w:szCs w:val="20"/>
                <w:lang w:val="uk-UA"/>
              </w:rPr>
              <w:t>01.</w:t>
            </w:r>
            <w:r w:rsidR="006B0A84" w:rsidRPr="009945BB">
              <w:rPr>
                <w:sz w:val="20"/>
                <w:szCs w:val="20"/>
                <w:lang w:val="uk-UA"/>
              </w:rPr>
              <w:t xml:space="preserve">06.2006р. – по </w:t>
            </w:r>
            <w:r w:rsidR="001529BC" w:rsidRPr="009945BB">
              <w:rPr>
                <w:sz w:val="20"/>
                <w:szCs w:val="20"/>
                <w:lang w:val="uk-UA"/>
              </w:rPr>
              <w:t>31.</w:t>
            </w:r>
            <w:r w:rsidR="006B0A84" w:rsidRPr="009945BB">
              <w:rPr>
                <w:sz w:val="20"/>
                <w:szCs w:val="20"/>
                <w:lang w:val="uk-UA"/>
              </w:rPr>
              <w:t xml:space="preserve">10.2015р., </w:t>
            </w:r>
            <w:r w:rsidRPr="009945BB">
              <w:rPr>
                <w:sz w:val="20"/>
                <w:szCs w:val="20"/>
                <w:lang w:val="uk-UA"/>
              </w:rPr>
              <w:t xml:space="preserve">Голова Правління, Керівник Глобального транзакційного банкінгу в Росії ТОВ «Дойче Банк», </w:t>
            </w:r>
            <w:r w:rsidR="006B0A84" w:rsidRPr="009945BB">
              <w:rPr>
                <w:sz w:val="20"/>
                <w:szCs w:val="20"/>
                <w:lang w:val="uk-UA"/>
              </w:rPr>
              <w:t xml:space="preserve">з </w:t>
            </w:r>
            <w:r w:rsidR="001529BC" w:rsidRPr="009945BB">
              <w:rPr>
                <w:sz w:val="20"/>
                <w:szCs w:val="20"/>
                <w:lang w:val="uk-UA"/>
              </w:rPr>
              <w:t>01.1</w:t>
            </w:r>
            <w:r w:rsidR="006B0A84" w:rsidRPr="009945BB">
              <w:rPr>
                <w:sz w:val="20"/>
                <w:szCs w:val="20"/>
                <w:lang w:val="uk-UA"/>
              </w:rPr>
              <w:t xml:space="preserve">1.2015р. – по теперішній момент, </w:t>
            </w:r>
            <w:r w:rsidRPr="009945BB">
              <w:rPr>
                <w:sz w:val="20"/>
                <w:szCs w:val="20"/>
                <w:lang w:val="uk-UA"/>
              </w:rPr>
              <w:t xml:space="preserve">Керуючий директор регіонального менеджменту центральної та східної Європи Дойче Банк Актіенгезельшафт, </w:t>
            </w:r>
            <w:r w:rsidR="001529BC" w:rsidRPr="009945BB">
              <w:rPr>
                <w:sz w:val="20"/>
                <w:szCs w:val="20"/>
                <w:lang w:val="uk-UA"/>
              </w:rPr>
              <w:t xml:space="preserve">з 17.08.2016 р. – по теперішній момент - </w:t>
            </w:r>
            <w:r w:rsidRPr="009945BB">
              <w:rPr>
                <w:sz w:val="20"/>
                <w:szCs w:val="20"/>
                <w:lang w:val="uk-UA"/>
              </w:rPr>
              <w:t>Член Наглядової Ради ТОВ «Дойче Банк»</w:t>
            </w:r>
            <w:r w:rsidR="001529BC" w:rsidRPr="009945BB">
              <w:rPr>
                <w:sz w:val="20"/>
                <w:szCs w:val="20"/>
                <w:lang w:val="uk-UA"/>
              </w:rPr>
              <w:t>)</w:t>
            </w:r>
            <w:r w:rsidRPr="009945BB">
              <w:rPr>
                <w:sz w:val="20"/>
                <w:szCs w:val="20"/>
                <w:lang w:val="uk-UA"/>
              </w:rPr>
              <w:t>;</w:t>
            </w:r>
          </w:p>
          <w:p w:rsidR="00DE47FE" w:rsidRPr="009945BB" w:rsidRDefault="00DE47FE" w:rsidP="00B574B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>Беат</w:t>
            </w:r>
            <w:r w:rsidR="00B574B0" w:rsidRPr="009945BB">
              <w:rPr>
                <w:sz w:val="20"/>
                <w:szCs w:val="20"/>
                <w:lang w:val="uk-UA"/>
              </w:rPr>
              <w:t>у</w:t>
            </w:r>
            <w:r w:rsidRPr="009945BB">
              <w:rPr>
                <w:sz w:val="20"/>
                <w:szCs w:val="20"/>
                <w:lang w:val="uk-UA"/>
              </w:rPr>
              <w:t xml:space="preserve"> Рамона Хофманн - заступником Голови Наглядової Ради (представник єдиного акціонера – Дойче Банк АГ) (паспортні відомості: відсутній дозвіл особи про розкриття паспортних даних. Перебуває на посаді Заступника Голови Наглядової ради Банку з </w:t>
            </w:r>
            <w:r w:rsidR="00B574B0" w:rsidRPr="009945BB">
              <w:rPr>
                <w:sz w:val="20"/>
                <w:szCs w:val="20"/>
                <w:lang w:val="uk-UA"/>
              </w:rPr>
              <w:t>18</w:t>
            </w:r>
            <w:r w:rsidRPr="009945BB">
              <w:rPr>
                <w:sz w:val="20"/>
                <w:szCs w:val="20"/>
                <w:lang w:val="uk-UA"/>
              </w:rPr>
              <w:t>.</w:t>
            </w:r>
            <w:r w:rsidR="00B574B0" w:rsidRPr="009945BB">
              <w:rPr>
                <w:sz w:val="20"/>
                <w:szCs w:val="20"/>
                <w:lang w:val="uk-UA"/>
              </w:rPr>
              <w:t>09</w:t>
            </w:r>
            <w:r w:rsidRPr="009945BB">
              <w:rPr>
                <w:sz w:val="20"/>
                <w:szCs w:val="20"/>
                <w:lang w:val="uk-UA"/>
              </w:rPr>
              <w:t>.2018р. Інші посади, що обійма</w:t>
            </w:r>
            <w:r w:rsidR="00B574B0" w:rsidRPr="009945BB">
              <w:rPr>
                <w:sz w:val="20"/>
                <w:szCs w:val="20"/>
                <w:lang w:val="uk-UA"/>
              </w:rPr>
              <w:t>ла</w:t>
            </w:r>
            <w:r w:rsidRPr="009945BB">
              <w:rPr>
                <w:sz w:val="20"/>
                <w:szCs w:val="20"/>
                <w:lang w:val="uk-UA"/>
              </w:rPr>
              <w:t xml:space="preserve">/обіймає </w:t>
            </w:r>
            <w:r w:rsidR="00B574B0" w:rsidRPr="009945BB">
              <w:rPr>
                <w:sz w:val="20"/>
                <w:szCs w:val="20"/>
                <w:lang w:val="uk-UA"/>
              </w:rPr>
              <w:t xml:space="preserve">Беате Рамона Хофманн </w:t>
            </w:r>
            <w:r w:rsidRPr="009945BB">
              <w:rPr>
                <w:sz w:val="20"/>
                <w:szCs w:val="20"/>
                <w:lang w:val="uk-UA"/>
              </w:rPr>
              <w:t xml:space="preserve">протягом останніх 5 років:  </w:t>
            </w:r>
            <w:r w:rsidR="00B574B0" w:rsidRPr="009945BB">
              <w:rPr>
                <w:sz w:val="20"/>
                <w:szCs w:val="20"/>
                <w:lang w:val="uk-UA"/>
              </w:rPr>
              <w:t>з 15.05.2017р. по теперішній момент - Керівник торгового фінансування (північна та східна Європа, центральна та східна Європа) Підрозділу Корпоративного та інвестиційного банкінгу - глобального транзакційного банкінгу в Дойче банк АГ, з 01.09.2010р. по 14.05.2017р. - Керівник торгового фінансування та управління грошовими потоками (регіон східної Європи) підрозділу глобального транзакційного банкінгу в Дойче Банк АГ, з 25.04.2018р. – по 17.09.2018р. - член Наглядової ради ПАТ «Дойче Банк ДБУ</w:t>
            </w:r>
            <w:r w:rsidRPr="009945BB">
              <w:rPr>
                <w:sz w:val="20"/>
                <w:szCs w:val="20"/>
                <w:lang w:val="uk-UA"/>
              </w:rPr>
              <w:t>»);</w:t>
            </w:r>
          </w:p>
          <w:p w:rsidR="009C3BDE" w:rsidRPr="009945BB" w:rsidRDefault="006B0A84" w:rsidP="009C3BDE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 xml:space="preserve">Маттіаса Бьома - членом Наглядової ради (незалежний) </w:t>
            </w:r>
            <w:r w:rsidR="00204BEB" w:rsidRPr="009945BB">
              <w:rPr>
                <w:sz w:val="20"/>
                <w:szCs w:val="20"/>
                <w:lang w:val="uk-UA"/>
              </w:rPr>
              <w:t xml:space="preserve">(паспортні відомості: відсутній дозвіл особи про розкриття паспортних даних. Перебуває на посаді члена Наглядової ради Банку з </w:t>
            </w:r>
            <w:r w:rsidRPr="009945BB">
              <w:rPr>
                <w:sz w:val="20"/>
                <w:szCs w:val="20"/>
                <w:lang w:val="uk-UA"/>
              </w:rPr>
              <w:t>01</w:t>
            </w:r>
            <w:r w:rsidR="00204BEB" w:rsidRPr="009945BB">
              <w:rPr>
                <w:sz w:val="20"/>
                <w:szCs w:val="20"/>
                <w:lang w:val="uk-UA"/>
              </w:rPr>
              <w:t>.0</w:t>
            </w:r>
            <w:r w:rsidRPr="009945BB">
              <w:rPr>
                <w:sz w:val="20"/>
                <w:szCs w:val="20"/>
                <w:lang w:val="uk-UA"/>
              </w:rPr>
              <w:t>1</w:t>
            </w:r>
            <w:r w:rsidR="00204BEB" w:rsidRPr="009945BB">
              <w:rPr>
                <w:sz w:val="20"/>
                <w:szCs w:val="20"/>
                <w:lang w:val="uk-UA"/>
              </w:rPr>
              <w:t>.201</w:t>
            </w:r>
            <w:r w:rsidRPr="009945BB">
              <w:rPr>
                <w:sz w:val="20"/>
                <w:szCs w:val="20"/>
                <w:lang w:val="uk-UA"/>
              </w:rPr>
              <w:t>9</w:t>
            </w:r>
            <w:r w:rsidR="00204BEB" w:rsidRPr="009945BB">
              <w:rPr>
                <w:sz w:val="20"/>
                <w:szCs w:val="20"/>
                <w:lang w:val="uk-UA"/>
              </w:rPr>
              <w:t xml:space="preserve">р. Протягом останніх п’яти років  пан </w:t>
            </w:r>
            <w:r w:rsidRPr="009945BB">
              <w:rPr>
                <w:sz w:val="20"/>
                <w:szCs w:val="20"/>
                <w:lang w:val="uk-UA"/>
              </w:rPr>
              <w:t xml:space="preserve">Маттіас Бьом </w:t>
            </w:r>
            <w:r w:rsidR="00204BEB" w:rsidRPr="009945BB">
              <w:rPr>
                <w:sz w:val="20"/>
                <w:szCs w:val="20"/>
                <w:lang w:val="uk-UA"/>
              </w:rPr>
              <w:t>обіймав наступні посади:</w:t>
            </w:r>
            <w:r w:rsidRPr="009945BB">
              <w:rPr>
                <w:sz w:val="20"/>
                <w:szCs w:val="20"/>
                <w:lang w:val="uk-UA"/>
              </w:rPr>
              <w:t xml:space="preserve"> з 01.06.2018р. – по теперішній момент - Дангельмайєр енд Зееманн ГмбХ (Німеччина), Консультант, 15.02.2013 - 31.05.2018рр. - Рабобанк У.А. (Німеччина) - Операційний директор, Керуючий директор/Керівник бізнес-підрозділу / Заступник Керуючого директора</w:t>
            </w:r>
            <w:r w:rsidR="009945BB">
              <w:rPr>
                <w:sz w:val="20"/>
                <w:szCs w:val="20"/>
                <w:lang w:val="uk-UA"/>
              </w:rPr>
              <w:t>)</w:t>
            </w:r>
            <w:r w:rsidR="00204BEB" w:rsidRPr="009945BB">
              <w:rPr>
                <w:sz w:val="20"/>
                <w:szCs w:val="20"/>
                <w:lang w:val="uk-UA"/>
              </w:rPr>
              <w:t>,</w:t>
            </w:r>
            <w:r w:rsidR="009C3BDE" w:rsidRPr="009945BB">
              <w:rPr>
                <w:sz w:val="20"/>
                <w:szCs w:val="20"/>
                <w:lang w:val="uk-UA"/>
              </w:rPr>
              <w:t xml:space="preserve"> </w:t>
            </w:r>
          </w:p>
          <w:p w:rsidR="008E2C98" w:rsidRPr="009945BB" w:rsidRDefault="009C3BDE" w:rsidP="009C3BDE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 xml:space="preserve">Дінева Пенко Стефанова - членом Наглядової ради (незалежний) </w:t>
            </w:r>
            <w:r w:rsidR="008E2C98" w:rsidRPr="009945BB">
              <w:rPr>
                <w:sz w:val="20"/>
                <w:szCs w:val="20"/>
                <w:lang w:val="uk-UA"/>
              </w:rPr>
              <w:t>(паспортні відомості: відсутній дозвіл особи про розкриття паспортних даних. Перебуває на посаді члена Наглядової ради Банку з 21.03.2018р. Протягом останніх п’яти років обіймав посаду Директора ТОВ «ІБМ Україна»</w:t>
            </w:r>
            <w:r w:rsidR="009945BB" w:rsidRPr="009945BB">
              <w:rPr>
                <w:sz w:val="20"/>
                <w:szCs w:val="20"/>
                <w:lang w:val="uk-UA"/>
              </w:rPr>
              <w:t>)</w:t>
            </w:r>
            <w:r w:rsidR="008E2C98" w:rsidRPr="009945BB">
              <w:rPr>
                <w:sz w:val="20"/>
                <w:szCs w:val="20"/>
                <w:lang w:val="uk-UA"/>
              </w:rPr>
              <w:t>.</w:t>
            </w:r>
          </w:p>
          <w:p w:rsidR="008E2C98" w:rsidRPr="009945BB" w:rsidRDefault="008E2C98" w:rsidP="008E2C9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5BB">
              <w:rPr>
                <w:rFonts w:ascii="Times New Roman" w:eastAsia="Times New Roman" w:hAnsi="Times New Roman" w:cs="Times New Roman"/>
                <w:sz w:val="20"/>
                <w:szCs w:val="20"/>
              </w:rPr>
              <w:t>Дітмара Герхарда Штюдеманна – незалежним членом Наглядової ради (паспортні відомості: відсутній дозвіл особи про розкриття паспортних даних. Перебуває на посаді члена Наглядової ради Банку з  27.04.2016р. Протягом останніх 5 років Дітмар Герхард Штюдеманн не  обіймав/обіймає будь-яких інших посад, так як на пенсії з 2006р.).</w:t>
            </w:r>
          </w:p>
          <w:p w:rsidR="00204BEB" w:rsidRPr="009945BB" w:rsidRDefault="00204BEB" w:rsidP="00204BE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5BB">
              <w:rPr>
                <w:rFonts w:ascii="Times New Roman" w:hAnsi="Times New Roman" w:cs="Times New Roman"/>
                <w:sz w:val="20"/>
                <w:szCs w:val="20"/>
              </w:rPr>
              <w:t xml:space="preserve">затвердити умови цивільно-правових договорів з членами Наглядової ради Банку шляхом підтвердження умов та </w:t>
            </w:r>
            <w:r w:rsidR="008E2C98" w:rsidRPr="009945BB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автоматичної </w:t>
            </w:r>
            <w:r w:rsidRPr="009945BB">
              <w:rPr>
                <w:rFonts w:ascii="Times New Roman" w:hAnsi="Times New Roman" w:cs="Times New Roman"/>
                <w:sz w:val="20"/>
                <w:szCs w:val="20"/>
              </w:rPr>
              <w:t>пролонгації строку дії цивільно-правових договорів, що раніше укладені з ними.</w:t>
            </w:r>
          </w:p>
          <w:p w:rsidR="00204BEB" w:rsidRPr="00842AFE" w:rsidRDefault="00204BEB" w:rsidP="00204BEB">
            <w:pPr>
              <w:pStyle w:val="ListParagraph"/>
              <w:spacing w:after="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04BEB" w:rsidRPr="009945BB" w:rsidRDefault="00204BEB" w:rsidP="008E2C98">
            <w:p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>Непогашеної судимості за корисливі та посадові злочини члени Наглядової ради не мають. Часткою в статутному капіталі та акціями Банку не володіють.</w:t>
            </w:r>
          </w:p>
          <w:p w:rsidR="00204BEB" w:rsidRPr="009945BB" w:rsidRDefault="00204BEB" w:rsidP="008E2C98">
            <w:pPr>
              <w:jc w:val="both"/>
              <w:rPr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>Строк, на який призначено (обрано) зазначених вище осіб на ті самі посади (подовження терміну повноважень), не визначений Рішенням акціонера (тому застосовується с</w:t>
            </w:r>
            <w:r w:rsidR="008E2C98" w:rsidRPr="009945BB">
              <w:rPr>
                <w:sz w:val="20"/>
                <w:szCs w:val="20"/>
                <w:lang w:val="uk-UA"/>
              </w:rPr>
              <w:t>трок 3</w:t>
            </w:r>
            <w:r w:rsidRPr="009945BB">
              <w:rPr>
                <w:sz w:val="20"/>
                <w:szCs w:val="20"/>
                <w:lang w:val="uk-UA"/>
              </w:rPr>
              <w:t xml:space="preserve"> р</w:t>
            </w:r>
            <w:r w:rsidR="008E2C98" w:rsidRPr="009945BB">
              <w:rPr>
                <w:sz w:val="20"/>
                <w:szCs w:val="20"/>
                <w:lang w:val="uk-UA"/>
              </w:rPr>
              <w:t>оки</w:t>
            </w:r>
            <w:r w:rsidRPr="009945BB">
              <w:rPr>
                <w:sz w:val="20"/>
                <w:szCs w:val="20"/>
                <w:lang w:val="uk-UA"/>
              </w:rPr>
              <w:t xml:space="preserve"> згідно Закону України «Про акціонерні товариства»).</w:t>
            </w:r>
          </w:p>
          <w:p w:rsidR="00204BEB" w:rsidRPr="00842AFE" w:rsidRDefault="00204BEB" w:rsidP="009945BB">
            <w:pPr>
              <w:jc w:val="both"/>
              <w:rPr>
                <w:sz w:val="20"/>
                <w:szCs w:val="20"/>
                <w:highlight w:val="yellow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>Підставою змін у персональному складі посадових осіб Банку є Рішення акціонера, прийняте відповідно до повноважень, зазначених у Статуті Банку</w:t>
            </w:r>
            <w:r w:rsidR="009945BB">
              <w:rPr>
                <w:sz w:val="20"/>
                <w:szCs w:val="20"/>
                <w:lang w:val="uk-UA"/>
              </w:rPr>
              <w:t>.</w:t>
            </w:r>
          </w:p>
        </w:tc>
      </w:tr>
    </w:tbl>
    <w:p w:rsidR="00204BEB" w:rsidRPr="00842AFE" w:rsidRDefault="00204BEB" w:rsidP="00807000">
      <w:pPr>
        <w:pStyle w:val="Ch6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p w:rsidR="008E2C98" w:rsidRPr="009945BB" w:rsidRDefault="008E2C98" w:rsidP="008E2C98">
      <w:pPr>
        <w:pStyle w:val="ListParagraph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45BB">
        <w:rPr>
          <w:rFonts w:ascii="Times New Roman" w:hAnsi="Times New Roman" w:cs="Times New Roman"/>
          <w:b/>
          <w:sz w:val="24"/>
          <w:szCs w:val="24"/>
        </w:rPr>
        <w:t>Інформація про затвердження звіту про винагороду членів наглядової ради</w:t>
      </w:r>
    </w:p>
    <w:tbl>
      <w:tblPr>
        <w:tblW w:w="1510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14247"/>
        <w:gridCol w:w="745"/>
      </w:tblGrid>
      <w:tr w:rsidR="00604D6E" w:rsidRPr="00842AFE" w:rsidTr="00016116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604D6E" w:rsidRPr="00842AFE" w:rsidRDefault="00604D6E" w:rsidP="00C82F5E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  <w:highlight w:val="yellow"/>
              </w:rPr>
            </w:pPr>
            <w:r w:rsidRPr="009945BB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604D6E" w:rsidRPr="00842AFE" w:rsidTr="00016116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604D6E" w:rsidRPr="009945BB" w:rsidRDefault="00604D6E" w:rsidP="00604D6E">
            <w:pPr>
              <w:pStyle w:val="rvps2"/>
              <w:shd w:val="clear" w:color="auto" w:fill="FFFFFF"/>
              <w:rPr>
                <w:rFonts w:eastAsiaTheme="minorHAnsi"/>
                <w:sz w:val="20"/>
                <w:szCs w:val="20"/>
                <w:lang w:val="uk-UA"/>
              </w:rPr>
            </w:pPr>
            <w:r w:rsidRPr="009945BB">
              <w:rPr>
                <w:sz w:val="20"/>
                <w:szCs w:val="20"/>
                <w:lang w:val="uk-UA"/>
              </w:rPr>
              <w:t>2</w:t>
            </w:r>
            <w:r w:rsidR="0095224E" w:rsidRPr="009945BB">
              <w:rPr>
                <w:sz w:val="20"/>
                <w:szCs w:val="20"/>
                <w:lang w:val="uk-UA"/>
              </w:rPr>
              <w:t>6</w:t>
            </w:r>
            <w:r w:rsidRPr="009945BB">
              <w:rPr>
                <w:sz w:val="20"/>
                <w:szCs w:val="20"/>
                <w:lang w:val="uk-UA"/>
              </w:rPr>
              <w:t xml:space="preserve"> квітня 2019 </w:t>
            </w:r>
            <w:r w:rsidRPr="009945BB">
              <w:rPr>
                <w:rFonts w:eastAsiaTheme="minorHAnsi"/>
                <w:sz w:val="20"/>
                <w:szCs w:val="20"/>
                <w:lang w:val="uk-UA"/>
              </w:rPr>
              <w:t>року прийняте Рішення № 2</w:t>
            </w:r>
            <w:r w:rsidR="009945BB" w:rsidRPr="009945BB">
              <w:rPr>
                <w:rFonts w:eastAsiaTheme="minorHAnsi"/>
                <w:sz w:val="20"/>
                <w:szCs w:val="20"/>
                <w:lang w:val="uk-UA"/>
              </w:rPr>
              <w:t>8</w:t>
            </w:r>
            <w:r w:rsidRPr="009945BB">
              <w:rPr>
                <w:rFonts w:eastAsiaTheme="minorHAnsi"/>
                <w:sz w:val="20"/>
                <w:szCs w:val="20"/>
                <w:lang w:val="uk-UA"/>
              </w:rPr>
              <w:t xml:space="preserve"> акціонера (ДОЙЧЕ БАНК АКЦІЄНҐЕЗЕЛЬШАФТ, надалі – «Акціонер») Банк»), згідно якого розглянуто і затверджено звіт про винагороду Наглядової Ради Банку за 2018 р. </w:t>
            </w:r>
          </w:p>
          <w:p w:rsidR="005B7D10" w:rsidRPr="009945BB" w:rsidRDefault="005B7D10" w:rsidP="00604D6E">
            <w:pPr>
              <w:pStyle w:val="rvps2"/>
              <w:shd w:val="clear" w:color="auto" w:fill="FFFFFF"/>
              <w:rPr>
                <w:b/>
                <w:sz w:val="20"/>
                <w:szCs w:val="20"/>
                <w:lang w:val="uk-UA"/>
              </w:rPr>
            </w:pPr>
            <w:r w:rsidRPr="009945BB">
              <w:rPr>
                <w:b/>
                <w:sz w:val="20"/>
                <w:szCs w:val="20"/>
                <w:lang w:val="uk-UA"/>
              </w:rPr>
              <w:t>Звіт про винагороду членів Наглядової ради Банку</w:t>
            </w:r>
            <w:r w:rsidR="009945BB" w:rsidRPr="009945BB">
              <w:rPr>
                <w:b/>
                <w:sz w:val="20"/>
                <w:szCs w:val="20"/>
                <w:lang w:val="uk-UA"/>
              </w:rPr>
              <w:t xml:space="preserve"> (складено Наглядовою радою 24.04.2019р.)</w:t>
            </w:r>
          </w:p>
          <w:p w:rsidR="005B7D10" w:rsidRPr="00566B16" w:rsidRDefault="005B7D10" w:rsidP="005B7D10">
            <w:pPr>
              <w:pStyle w:val="rvps2"/>
              <w:numPr>
                <w:ilvl w:val="0"/>
                <w:numId w:val="22"/>
              </w:numPr>
              <w:shd w:val="clear" w:color="auto" w:fill="FFFFFF"/>
              <w:rPr>
                <w:rFonts w:eastAsiaTheme="minorHAnsi"/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lastRenderedPageBreak/>
              <w:t>Члени Наглядової ради Банку, які є  представниками єдиного акціонера – Дойче Банк АГ, не отримують винагороду відповідно до договорів, укладених з ними. Оцінка ефективності виконання функцій всіх членів Наглядової ради Банку зазначена в окремому Звіті Наглядової ради Банку.</w:t>
            </w:r>
          </w:p>
          <w:p w:rsidR="005B7D10" w:rsidRPr="00566B16" w:rsidRDefault="005B7D10" w:rsidP="005B7D10">
            <w:pPr>
              <w:pStyle w:val="rvps2"/>
              <w:numPr>
                <w:ilvl w:val="0"/>
                <w:numId w:val="22"/>
              </w:numPr>
              <w:shd w:val="clear" w:color="auto" w:fill="FFFFFF"/>
              <w:rPr>
                <w:rFonts w:eastAsiaTheme="minorHAnsi"/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Незалежним членам Наглядової ради Банку, а саме, Маттіасу Бьому, Діневу Пенку Стефанову, Дітмару Герхарду Штюдеманну (що є діючими), Александру Ернсту Паулю Берджі (повноваження якого припинено), за 2018 рік виплачена винагорода загальною сумою 3,9 мільйонів гривень, відповідно до умов договорів, укладених з ними. При цьому була проаналізована ефективність виконання кожним членом Наглядової ради Банку своїх функцій, включаючи, але не виключно, наступне: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фактична присутність на засіданнях Наглядової ради Банку і причини відсутності</w:t>
            </w:r>
          </w:p>
          <w:p w:rsidR="005B7D10" w:rsidRPr="00566B16" w:rsidRDefault="005B7D10" w:rsidP="005B7D10">
            <w:pPr>
              <w:spacing w:before="60"/>
              <w:ind w:left="1080"/>
              <w:jc w:val="both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Всі незалежні члени Наглядової ради були присутні (безпосередньо чи дистанційно) на всіх засіданнях (з моменту їх обрання)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рішення, від прийняття яких незалежні члени Наглядової ради Банку відмовились, оскільки конфлікт інтересів не давав змоги повною мірою виконати свої обов’язки без шкоди для інтересів Банку, його вкладників та учасників</w:t>
            </w:r>
          </w:p>
          <w:p w:rsidR="00837F20" w:rsidRPr="00566B16" w:rsidRDefault="005B7D10" w:rsidP="00016116">
            <w:pPr>
              <w:ind w:left="1080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 було таких відмов, так як не було конфлікту інтересів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рішення про операції з пов’язаними з Банком особами, прийняті за підтримки незалежних членів Наглядової ради Банку</w:t>
            </w:r>
          </w:p>
          <w:p w:rsidR="00837F20" w:rsidRPr="00566B16" w:rsidRDefault="005B7D10" w:rsidP="00016116">
            <w:pPr>
              <w:ind w:left="1080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 було операцій з пов’язаними з Банком особами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несвоєчасне або неналежне виконання зобов’язань перед Банком пов’язаними з Банком особами, рішення щодо операцій з якими було прийнято за підтримки незалежних членів Наглядової ради Банку</w:t>
            </w:r>
          </w:p>
          <w:p w:rsidR="00837F20" w:rsidRPr="00566B16" w:rsidRDefault="005B7D10" w:rsidP="00016116">
            <w:pPr>
              <w:ind w:left="1080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 було такого несвоєчасного або неналежного виконання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підтверджені факти неприйнятної поведінки незалежних членів Наглядової ради Банку (уключаючи повідомлені конфіденційним шляхом) та вжиті за результатами розслідування заходи</w:t>
            </w:r>
          </w:p>
          <w:p w:rsidR="00837F20" w:rsidRPr="00566B16" w:rsidRDefault="005B7D10" w:rsidP="00016116">
            <w:pPr>
              <w:ind w:left="1080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 було таких фактів</w:t>
            </w:r>
          </w:p>
          <w:p w:rsidR="005B7D10" w:rsidRPr="00566B16" w:rsidRDefault="005B7D10" w:rsidP="005B7D10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66B16">
              <w:rPr>
                <w:rFonts w:ascii="Times New Roman" w:hAnsi="Times New Roman" w:cs="Times New Roman"/>
                <w:sz w:val="20"/>
                <w:szCs w:val="20"/>
              </w:rPr>
              <w:t>наявність обґрунтування щодо виплати/відстрочення/зменшення/повернення змінної частини винагороди незалежних членів Наглядової ради Банку</w:t>
            </w:r>
          </w:p>
          <w:p w:rsidR="005B7D10" w:rsidRPr="00842AFE" w:rsidRDefault="005B7D10" w:rsidP="005B7D10">
            <w:pPr>
              <w:spacing w:before="60"/>
              <w:ind w:left="1080"/>
              <w:jc w:val="both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Не було фактів притримання, зменшення повернення винагороди, так як не було підстав. Змінна частина винагороди не передбачена договорами.</w:t>
            </w:r>
          </w:p>
        </w:tc>
      </w:tr>
      <w:tr w:rsidR="00152118" w:rsidRPr="00016116" w:rsidTr="000161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5" w:type="dxa"/>
          <w:trHeight w:val="180"/>
        </w:trPr>
        <w:tc>
          <w:tcPr>
            <w:tcW w:w="14360" w:type="dxa"/>
            <w:gridSpan w:val="2"/>
          </w:tcPr>
          <w:p w:rsidR="00A328D3" w:rsidRPr="00566B16" w:rsidRDefault="00A328D3" w:rsidP="00A328D3">
            <w:pPr>
              <w:jc w:val="both"/>
              <w:rPr>
                <w:sz w:val="20"/>
                <w:szCs w:val="20"/>
                <w:lang w:val="uk-UA"/>
              </w:rPr>
            </w:pPr>
            <w:bookmarkStart w:id="1" w:name="n1742"/>
            <w:bookmarkStart w:id="2" w:name="n2290"/>
            <w:bookmarkStart w:id="3" w:name="n2293"/>
            <w:bookmarkStart w:id="4" w:name="n2294"/>
            <w:bookmarkStart w:id="5" w:name="n2272"/>
            <w:bookmarkEnd w:id="1"/>
            <w:bookmarkEnd w:id="2"/>
            <w:bookmarkEnd w:id="3"/>
            <w:bookmarkEnd w:id="4"/>
            <w:bookmarkEnd w:id="5"/>
          </w:p>
          <w:p w:rsidR="00A328D3" w:rsidRPr="00566B16" w:rsidRDefault="00A328D3" w:rsidP="00A328D3">
            <w:pPr>
              <w:jc w:val="both"/>
              <w:rPr>
                <w:sz w:val="20"/>
                <w:szCs w:val="20"/>
                <w:lang w:val="uk-UA"/>
              </w:rPr>
            </w:pPr>
            <w:r w:rsidRPr="00566B16">
              <w:rPr>
                <w:sz w:val="20"/>
                <w:szCs w:val="20"/>
                <w:lang w:val="uk-UA"/>
              </w:rPr>
              <w:t>Особа, зазначена нижче, підтверджує достовірність інформації, що міститься у повідомленні, та визнає, що вона несе відповідальність згідно з законодавством.</w:t>
            </w:r>
          </w:p>
          <w:p w:rsidR="00152118" w:rsidRPr="00566B16" w:rsidRDefault="00152118" w:rsidP="00452E1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553B6" w:rsidRPr="00016116" w:rsidTr="000161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5" w:type="dxa"/>
          <w:trHeight w:val="180"/>
        </w:trPr>
        <w:tc>
          <w:tcPr>
            <w:tcW w:w="14360" w:type="dxa"/>
            <w:gridSpan w:val="2"/>
          </w:tcPr>
          <w:p w:rsidR="005553B6" w:rsidRPr="00566B16" w:rsidRDefault="005553B6" w:rsidP="00A328D3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B6619B" w:rsidRPr="00566B16" w:rsidRDefault="00566B16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566B16">
        <w:rPr>
          <w:lang w:val="uk-UA"/>
        </w:rPr>
        <w:t xml:space="preserve">Заступник </w:t>
      </w:r>
      <w:r w:rsidR="00B6619B" w:rsidRPr="00566B16">
        <w:rPr>
          <w:lang w:val="uk-UA"/>
        </w:rPr>
        <w:t>Голов</w:t>
      </w:r>
      <w:r w:rsidRPr="00566B16">
        <w:rPr>
          <w:lang w:val="uk-UA"/>
        </w:rPr>
        <w:t>и</w:t>
      </w:r>
      <w:r w:rsidR="00B6619B" w:rsidRPr="00566B16">
        <w:rPr>
          <w:lang w:val="uk-UA"/>
        </w:rPr>
        <w:t xml:space="preserve"> Правління Банку </w:t>
      </w:r>
      <w:r w:rsidRPr="00566B16">
        <w:rPr>
          <w:lang w:val="uk-UA"/>
        </w:rPr>
        <w:t>Рибенко О.В.</w:t>
      </w:r>
    </w:p>
    <w:p w:rsidR="00B6619B" w:rsidRPr="00566B16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566B16">
        <w:rPr>
          <w:lang w:val="uk-UA"/>
        </w:rPr>
        <w:t>Тел. (044) 4</w:t>
      </w:r>
      <w:r w:rsidR="00566B16" w:rsidRPr="00566B16">
        <w:rPr>
          <w:lang w:val="uk-UA"/>
        </w:rPr>
        <w:t>61</w:t>
      </w:r>
      <w:r w:rsidRPr="00566B16">
        <w:rPr>
          <w:lang w:val="uk-UA"/>
        </w:rPr>
        <w:t>-</w:t>
      </w:r>
      <w:r w:rsidR="00566B16" w:rsidRPr="00566B16">
        <w:rPr>
          <w:lang w:val="uk-UA"/>
        </w:rPr>
        <w:t>15</w:t>
      </w:r>
      <w:r w:rsidRPr="00566B16">
        <w:rPr>
          <w:lang w:val="uk-UA"/>
        </w:rPr>
        <w:t>-</w:t>
      </w:r>
      <w:r w:rsidR="00566B16" w:rsidRPr="00566B16">
        <w:rPr>
          <w:lang w:val="uk-UA"/>
        </w:rPr>
        <w:t>40</w:t>
      </w:r>
    </w:p>
    <w:p w:rsidR="00B6619B" w:rsidRPr="00566B16" w:rsidRDefault="00B6619B" w:rsidP="00B6619B">
      <w:pPr>
        <w:spacing w:line="276" w:lineRule="auto"/>
        <w:jc w:val="both"/>
        <w:rPr>
          <w:lang w:val="uk-UA"/>
        </w:rPr>
      </w:pPr>
    </w:p>
    <w:p w:rsidR="00B6619B" w:rsidRPr="00566B16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566B16">
        <w:rPr>
          <w:lang w:val="uk-UA"/>
        </w:rPr>
        <w:t>Виконавець:</w:t>
      </w:r>
    </w:p>
    <w:p w:rsidR="00566B16" w:rsidRPr="00566B16" w:rsidRDefault="00B6619B" w:rsidP="00566B16">
      <w:pPr>
        <w:autoSpaceDE w:val="0"/>
        <w:autoSpaceDN w:val="0"/>
        <w:spacing w:line="360" w:lineRule="auto"/>
        <w:jc w:val="both"/>
        <w:rPr>
          <w:lang w:val="uk-UA"/>
        </w:rPr>
      </w:pPr>
      <w:r w:rsidRPr="00566B16">
        <w:rPr>
          <w:lang w:val="uk-UA"/>
        </w:rPr>
        <w:t>Рудаков О</w:t>
      </w:r>
      <w:r w:rsidR="00016116">
        <w:rPr>
          <w:lang w:val="uk-UA"/>
        </w:rPr>
        <w:t>лександр</w:t>
      </w:r>
      <w:r w:rsidR="00016116">
        <w:t xml:space="preserve">, </w:t>
      </w:r>
      <w:r w:rsidR="00566B16" w:rsidRPr="00566B16">
        <w:rPr>
          <w:lang w:val="uk-UA"/>
        </w:rPr>
        <w:t>Тел. (044) 461-15-40</w:t>
      </w:r>
    </w:p>
    <w:p w:rsidR="00395B1D" w:rsidRPr="00842AFE" w:rsidRDefault="00395B1D" w:rsidP="00566B16">
      <w:pPr>
        <w:autoSpaceDE w:val="0"/>
        <w:autoSpaceDN w:val="0"/>
        <w:spacing w:line="360" w:lineRule="auto"/>
        <w:jc w:val="both"/>
        <w:rPr>
          <w:sz w:val="18"/>
          <w:szCs w:val="18"/>
          <w:lang w:val="uk-UA"/>
        </w:rPr>
      </w:pPr>
    </w:p>
    <w:sectPr w:rsidR="00395B1D" w:rsidRPr="00842AFE" w:rsidSect="00DE5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260" w:right="540" w:bottom="720" w:left="5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2B" w:rsidRDefault="00F4122B">
      <w:r>
        <w:separator/>
      </w:r>
    </w:p>
  </w:endnote>
  <w:endnote w:type="continuationSeparator" w:id="0">
    <w:p w:rsidR="00F4122B" w:rsidRDefault="00F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45FD">
      <w:rPr>
        <w:rStyle w:val="PageNumber"/>
        <w:noProof/>
      </w:rPr>
      <w:t>2</w: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2B" w:rsidRDefault="00F4122B">
      <w:r>
        <w:separator/>
      </w:r>
    </w:p>
  </w:footnote>
  <w:footnote w:type="continuationSeparator" w:id="0">
    <w:p w:rsidR="00F4122B" w:rsidRDefault="00F4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08B"/>
    <w:multiLevelType w:val="hybridMultilevel"/>
    <w:tmpl w:val="C6AEA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93132"/>
    <w:multiLevelType w:val="multilevel"/>
    <w:tmpl w:val="057E2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384011"/>
    <w:multiLevelType w:val="hybridMultilevel"/>
    <w:tmpl w:val="C1B6D6AE"/>
    <w:lvl w:ilvl="0" w:tplc="B6D8119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12C95"/>
    <w:multiLevelType w:val="hybridMultilevel"/>
    <w:tmpl w:val="3774E1B6"/>
    <w:lvl w:ilvl="0" w:tplc="6FC8E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899"/>
    <w:multiLevelType w:val="multilevel"/>
    <w:tmpl w:val="1CF6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3544387F"/>
    <w:multiLevelType w:val="hybridMultilevel"/>
    <w:tmpl w:val="D3FC1D3E"/>
    <w:lvl w:ilvl="0" w:tplc="CCD2515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FF0650"/>
    <w:multiLevelType w:val="hybridMultilevel"/>
    <w:tmpl w:val="F8487588"/>
    <w:lvl w:ilvl="0" w:tplc="E9D2B2E2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92B2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A4614"/>
    <w:multiLevelType w:val="hybridMultilevel"/>
    <w:tmpl w:val="47422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A0D2E"/>
    <w:multiLevelType w:val="hybridMultilevel"/>
    <w:tmpl w:val="CA105100"/>
    <w:lvl w:ilvl="0" w:tplc="C1240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34696"/>
    <w:multiLevelType w:val="hybridMultilevel"/>
    <w:tmpl w:val="67689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891691"/>
    <w:multiLevelType w:val="hybridMultilevel"/>
    <w:tmpl w:val="9F2C0352"/>
    <w:lvl w:ilvl="0" w:tplc="C1382CF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AD1A5A"/>
    <w:multiLevelType w:val="hybridMultilevel"/>
    <w:tmpl w:val="50B21C94"/>
    <w:lvl w:ilvl="0" w:tplc="622C9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D4F69"/>
    <w:multiLevelType w:val="hybridMultilevel"/>
    <w:tmpl w:val="FE1C0050"/>
    <w:lvl w:ilvl="0" w:tplc="6FC8E3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D210E0"/>
    <w:multiLevelType w:val="hybridMultilevel"/>
    <w:tmpl w:val="EB42D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B6A52"/>
    <w:multiLevelType w:val="multilevel"/>
    <w:tmpl w:val="56B6D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2D46D2"/>
    <w:multiLevelType w:val="hybridMultilevel"/>
    <w:tmpl w:val="3748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05B8A"/>
    <w:multiLevelType w:val="hybridMultilevel"/>
    <w:tmpl w:val="35FEBFB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465067"/>
    <w:multiLevelType w:val="hybridMultilevel"/>
    <w:tmpl w:val="9426008C"/>
    <w:lvl w:ilvl="0" w:tplc="DAD80D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53BA94B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069FA"/>
    <w:multiLevelType w:val="hybridMultilevel"/>
    <w:tmpl w:val="898C304A"/>
    <w:lvl w:ilvl="0" w:tplc="DE10CF5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770FF"/>
    <w:multiLevelType w:val="hybridMultilevel"/>
    <w:tmpl w:val="A6D6FB26"/>
    <w:lvl w:ilvl="0" w:tplc="339668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02B38"/>
    <w:multiLevelType w:val="multilevel"/>
    <w:tmpl w:val="AF6A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6E284A6C"/>
    <w:multiLevelType w:val="hybridMultilevel"/>
    <w:tmpl w:val="4768BDD8"/>
    <w:lvl w:ilvl="0" w:tplc="8B2444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21"/>
  </w:num>
  <w:num w:numId="10">
    <w:abstractNumId w:val="9"/>
  </w:num>
  <w:num w:numId="11">
    <w:abstractNumId w:val="2"/>
  </w:num>
  <w:num w:numId="12">
    <w:abstractNumId w:val="18"/>
  </w:num>
  <w:num w:numId="13">
    <w:abstractNumId w:val="7"/>
  </w:num>
  <w:num w:numId="14">
    <w:abstractNumId w:val="10"/>
  </w:num>
  <w:num w:numId="15">
    <w:abstractNumId w:val="20"/>
  </w:num>
  <w:num w:numId="16">
    <w:abstractNumId w:val="14"/>
  </w:num>
  <w:num w:numId="17">
    <w:abstractNumId w:val="1"/>
  </w:num>
  <w:num w:numId="18">
    <w:abstractNumId w:val="11"/>
  </w:num>
  <w:num w:numId="19">
    <w:abstractNumId w:val="15"/>
  </w:num>
  <w:num w:numId="20">
    <w:abstractNumId w:val="8"/>
  </w:num>
  <w:num w:numId="21">
    <w:abstractNumId w:val="0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B2"/>
    <w:rsid w:val="00016116"/>
    <w:rsid w:val="00037BC0"/>
    <w:rsid w:val="00043B46"/>
    <w:rsid w:val="0006447D"/>
    <w:rsid w:val="0006777E"/>
    <w:rsid w:val="00071555"/>
    <w:rsid w:val="000941C3"/>
    <w:rsid w:val="00097357"/>
    <w:rsid w:val="000D03FB"/>
    <w:rsid w:val="000D608E"/>
    <w:rsid w:val="000E31AF"/>
    <w:rsid w:val="000F6963"/>
    <w:rsid w:val="000F7126"/>
    <w:rsid w:val="00102CA9"/>
    <w:rsid w:val="00117C64"/>
    <w:rsid w:val="00132E43"/>
    <w:rsid w:val="001514B6"/>
    <w:rsid w:val="00152118"/>
    <w:rsid w:val="001529BC"/>
    <w:rsid w:val="00156D8A"/>
    <w:rsid w:val="00176F6E"/>
    <w:rsid w:val="001838BC"/>
    <w:rsid w:val="00185912"/>
    <w:rsid w:val="0019021F"/>
    <w:rsid w:val="001C39EC"/>
    <w:rsid w:val="001C43DF"/>
    <w:rsid w:val="001C5749"/>
    <w:rsid w:val="001E5256"/>
    <w:rsid w:val="001E708C"/>
    <w:rsid w:val="00204BEB"/>
    <w:rsid w:val="00205086"/>
    <w:rsid w:val="00207C18"/>
    <w:rsid w:val="00227359"/>
    <w:rsid w:val="00242060"/>
    <w:rsid w:val="00243ACF"/>
    <w:rsid w:val="00255350"/>
    <w:rsid w:val="00260320"/>
    <w:rsid w:val="002642A9"/>
    <w:rsid w:val="00264352"/>
    <w:rsid w:val="002644A7"/>
    <w:rsid w:val="00277C7B"/>
    <w:rsid w:val="00282D11"/>
    <w:rsid w:val="00286F8A"/>
    <w:rsid w:val="00287FFD"/>
    <w:rsid w:val="002B0CE0"/>
    <w:rsid w:val="002B5533"/>
    <w:rsid w:val="002B710C"/>
    <w:rsid w:val="002C078A"/>
    <w:rsid w:val="002D3D51"/>
    <w:rsid w:val="002E15D0"/>
    <w:rsid w:val="002E3DA1"/>
    <w:rsid w:val="002F6078"/>
    <w:rsid w:val="003305F2"/>
    <w:rsid w:val="00331BEE"/>
    <w:rsid w:val="00332D6B"/>
    <w:rsid w:val="00344C0A"/>
    <w:rsid w:val="003539E3"/>
    <w:rsid w:val="003570B9"/>
    <w:rsid w:val="003704AC"/>
    <w:rsid w:val="00381F63"/>
    <w:rsid w:val="00383914"/>
    <w:rsid w:val="003931D3"/>
    <w:rsid w:val="0039365C"/>
    <w:rsid w:val="00395B1D"/>
    <w:rsid w:val="003C5A40"/>
    <w:rsid w:val="003D6CD9"/>
    <w:rsid w:val="003D7B4C"/>
    <w:rsid w:val="003E2262"/>
    <w:rsid w:val="003F0AB5"/>
    <w:rsid w:val="003F383D"/>
    <w:rsid w:val="0040096B"/>
    <w:rsid w:val="00423C3E"/>
    <w:rsid w:val="00452E18"/>
    <w:rsid w:val="00456209"/>
    <w:rsid w:val="0046699C"/>
    <w:rsid w:val="00472F44"/>
    <w:rsid w:val="004827B6"/>
    <w:rsid w:val="0049199E"/>
    <w:rsid w:val="004A5814"/>
    <w:rsid w:val="004A6C1E"/>
    <w:rsid w:val="004B38C1"/>
    <w:rsid w:val="004D095B"/>
    <w:rsid w:val="004D5B0D"/>
    <w:rsid w:val="004E185A"/>
    <w:rsid w:val="00504C3B"/>
    <w:rsid w:val="00507FCE"/>
    <w:rsid w:val="005440B9"/>
    <w:rsid w:val="005522C1"/>
    <w:rsid w:val="005553B6"/>
    <w:rsid w:val="00566633"/>
    <w:rsid w:val="00566B16"/>
    <w:rsid w:val="0059318D"/>
    <w:rsid w:val="005934DC"/>
    <w:rsid w:val="005B0530"/>
    <w:rsid w:val="005B3042"/>
    <w:rsid w:val="005B60A5"/>
    <w:rsid w:val="005B7D10"/>
    <w:rsid w:val="005C5693"/>
    <w:rsid w:val="005D1FFD"/>
    <w:rsid w:val="005E1A63"/>
    <w:rsid w:val="005F5A9C"/>
    <w:rsid w:val="006016DB"/>
    <w:rsid w:val="00604D6E"/>
    <w:rsid w:val="006128AF"/>
    <w:rsid w:val="00617690"/>
    <w:rsid w:val="00630A97"/>
    <w:rsid w:val="006425D5"/>
    <w:rsid w:val="00646AB2"/>
    <w:rsid w:val="0065367D"/>
    <w:rsid w:val="006623CA"/>
    <w:rsid w:val="00662FB2"/>
    <w:rsid w:val="00665435"/>
    <w:rsid w:val="00666FA1"/>
    <w:rsid w:val="006A161A"/>
    <w:rsid w:val="006A40C7"/>
    <w:rsid w:val="006B0A84"/>
    <w:rsid w:val="006D11CC"/>
    <w:rsid w:val="006E13B7"/>
    <w:rsid w:val="00716EF9"/>
    <w:rsid w:val="007307AC"/>
    <w:rsid w:val="00730C77"/>
    <w:rsid w:val="00763711"/>
    <w:rsid w:val="00777B81"/>
    <w:rsid w:val="00795811"/>
    <w:rsid w:val="007B1E19"/>
    <w:rsid w:val="007C2A98"/>
    <w:rsid w:val="00807000"/>
    <w:rsid w:val="00810E3C"/>
    <w:rsid w:val="008134CA"/>
    <w:rsid w:val="008357FA"/>
    <w:rsid w:val="00837F20"/>
    <w:rsid w:val="008411CB"/>
    <w:rsid w:val="00842AFE"/>
    <w:rsid w:val="00847E49"/>
    <w:rsid w:val="00873B17"/>
    <w:rsid w:val="008765CB"/>
    <w:rsid w:val="00881727"/>
    <w:rsid w:val="00886D95"/>
    <w:rsid w:val="008B4022"/>
    <w:rsid w:val="008D137B"/>
    <w:rsid w:val="008D2933"/>
    <w:rsid w:val="008E2C98"/>
    <w:rsid w:val="008E4660"/>
    <w:rsid w:val="008F3C8A"/>
    <w:rsid w:val="00922DB4"/>
    <w:rsid w:val="00923946"/>
    <w:rsid w:val="00925C81"/>
    <w:rsid w:val="00940498"/>
    <w:rsid w:val="009406E8"/>
    <w:rsid w:val="009477E0"/>
    <w:rsid w:val="0095224E"/>
    <w:rsid w:val="00960BB5"/>
    <w:rsid w:val="00986A85"/>
    <w:rsid w:val="009945BB"/>
    <w:rsid w:val="009968E5"/>
    <w:rsid w:val="009B20A4"/>
    <w:rsid w:val="009C2921"/>
    <w:rsid w:val="009C3BDE"/>
    <w:rsid w:val="009D1838"/>
    <w:rsid w:val="009E02CF"/>
    <w:rsid w:val="009E7746"/>
    <w:rsid w:val="009F43EF"/>
    <w:rsid w:val="00A10204"/>
    <w:rsid w:val="00A2538C"/>
    <w:rsid w:val="00A328D3"/>
    <w:rsid w:val="00A35BDA"/>
    <w:rsid w:val="00A54697"/>
    <w:rsid w:val="00A56863"/>
    <w:rsid w:val="00A62C37"/>
    <w:rsid w:val="00A82801"/>
    <w:rsid w:val="00AA1F79"/>
    <w:rsid w:val="00AA4773"/>
    <w:rsid w:val="00AB088A"/>
    <w:rsid w:val="00AD5773"/>
    <w:rsid w:val="00AD6AFB"/>
    <w:rsid w:val="00AF08E2"/>
    <w:rsid w:val="00AF45D3"/>
    <w:rsid w:val="00AF562D"/>
    <w:rsid w:val="00B037EB"/>
    <w:rsid w:val="00B0591B"/>
    <w:rsid w:val="00B318CB"/>
    <w:rsid w:val="00B417F4"/>
    <w:rsid w:val="00B44068"/>
    <w:rsid w:val="00B574B0"/>
    <w:rsid w:val="00B6619B"/>
    <w:rsid w:val="00B720F9"/>
    <w:rsid w:val="00B824FA"/>
    <w:rsid w:val="00B919D3"/>
    <w:rsid w:val="00BA6A61"/>
    <w:rsid w:val="00BB1B72"/>
    <w:rsid w:val="00BD1EDF"/>
    <w:rsid w:val="00BD2624"/>
    <w:rsid w:val="00BD2EFF"/>
    <w:rsid w:val="00BD7F92"/>
    <w:rsid w:val="00BF53BB"/>
    <w:rsid w:val="00C00198"/>
    <w:rsid w:val="00C00EC3"/>
    <w:rsid w:val="00C271DA"/>
    <w:rsid w:val="00C342BD"/>
    <w:rsid w:val="00C41744"/>
    <w:rsid w:val="00C43880"/>
    <w:rsid w:val="00C451A4"/>
    <w:rsid w:val="00C510B3"/>
    <w:rsid w:val="00C55B87"/>
    <w:rsid w:val="00C55D53"/>
    <w:rsid w:val="00C56DF4"/>
    <w:rsid w:val="00C93F33"/>
    <w:rsid w:val="00CA2D43"/>
    <w:rsid w:val="00CA3F72"/>
    <w:rsid w:val="00CB49FD"/>
    <w:rsid w:val="00CC404D"/>
    <w:rsid w:val="00CD6A38"/>
    <w:rsid w:val="00CD78B2"/>
    <w:rsid w:val="00CF14A4"/>
    <w:rsid w:val="00D03BC4"/>
    <w:rsid w:val="00D1754A"/>
    <w:rsid w:val="00D40A86"/>
    <w:rsid w:val="00D554EF"/>
    <w:rsid w:val="00D654A6"/>
    <w:rsid w:val="00D73209"/>
    <w:rsid w:val="00D9150C"/>
    <w:rsid w:val="00DC3FFE"/>
    <w:rsid w:val="00DD1DE7"/>
    <w:rsid w:val="00DD344E"/>
    <w:rsid w:val="00DD68F9"/>
    <w:rsid w:val="00DE35AB"/>
    <w:rsid w:val="00DE47FE"/>
    <w:rsid w:val="00DE5E3E"/>
    <w:rsid w:val="00DF4107"/>
    <w:rsid w:val="00E430DE"/>
    <w:rsid w:val="00E64D47"/>
    <w:rsid w:val="00E77ADA"/>
    <w:rsid w:val="00EA3CE6"/>
    <w:rsid w:val="00EB4835"/>
    <w:rsid w:val="00ED3F05"/>
    <w:rsid w:val="00ED45FD"/>
    <w:rsid w:val="00ED55D8"/>
    <w:rsid w:val="00ED65F1"/>
    <w:rsid w:val="00F00A24"/>
    <w:rsid w:val="00F06A6E"/>
    <w:rsid w:val="00F075A3"/>
    <w:rsid w:val="00F23A64"/>
    <w:rsid w:val="00F33AED"/>
    <w:rsid w:val="00F34CC0"/>
    <w:rsid w:val="00F4122B"/>
    <w:rsid w:val="00F44499"/>
    <w:rsid w:val="00F6089C"/>
    <w:rsid w:val="00F611A7"/>
    <w:rsid w:val="00F65EEA"/>
    <w:rsid w:val="00F80DA2"/>
    <w:rsid w:val="00F84B5D"/>
    <w:rsid w:val="00FC113F"/>
    <w:rsid w:val="00FC4B37"/>
    <w:rsid w:val="00FD7016"/>
    <w:rsid w:val="00FE48A8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D7FFB8-3462-4109-8CD6-98671EB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2CA9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02CA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02CA9"/>
  </w:style>
  <w:style w:type="paragraph" w:styleId="NormalWeb">
    <w:name w:val="Normal (Web)"/>
    <w:basedOn w:val="Normal"/>
    <w:rsid w:val="00ED65F1"/>
    <w:pPr>
      <w:spacing w:before="50" w:after="50"/>
    </w:pPr>
    <w:rPr>
      <w:lang w:val="ru-RU" w:eastAsia="ru-RU"/>
    </w:rPr>
  </w:style>
  <w:style w:type="paragraph" w:styleId="ListParagraph">
    <w:name w:val="List Paragraph"/>
    <w:basedOn w:val="Normal"/>
    <w:uiPriority w:val="34"/>
    <w:qFormat/>
    <w:rsid w:val="00AD5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styleId="Hyperlink">
    <w:name w:val="Hyperlink"/>
    <w:basedOn w:val="DefaultParagraphFont"/>
    <w:uiPriority w:val="99"/>
    <w:unhideWhenUsed/>
    <w:rsid w:val="00504C3B"/>
    <w:rPr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1C43DF"/>
    <w:pPr>
      <w:spacing w:line="360" w:lineRule="auto"/>
      <w:jc w:val="center"/>
    </w:pPr>
    <w:rPr>
      <w:rFonts w:eastAsiaTheme="minorHAnsi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1C43DF"/>
    <w:rPr>
      <w:rFonts w:eastAsiaTheme="minorHAnsi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D3F05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3F05"/>
    <w:rPr>
      <w:lang w:val="ru-RU" w:eastAsia="ru-RU"/>
    </w:rPr>
  </w:style>
  <w:style w:type="paragraph" w:customStyle="1" w:styleId="rvps2">
    <w:name w:val="rvps2"/>
    <w:basedOn w:val="Normal"/>
    <w:rsid w:val="008765CB"/>
    <w:pPr>
      <w:spacing w:after="100" w:afterAutospacing="1"/>
    </w:pPr>
  </w:style>
  <w:style w:type="paragraph" w:customStyle="1" w:styleId="a">
    <w:name w:val="[Немає стилю абзацу]"/>
    <w:rsid w:val="0080700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Normal"/>
    <w:rsid w:val="0080700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ru-RU"/>
    </w:rPr>
  </w:style>
  <w:style w:type="character" w:customStyle="1" w:styleId="Bold">
    <w:name w:val="Bold"/>
    <w:rsid w:val="00807000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807000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Normal"/>
    <w:rsid w:val="00807000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SnoskaSNOSKI">
    <w:name w:val="Snoska* (SNOSKI)"/>
    <w:basedOn w:val="Normal"/>
    <w:rsid w:val="00807000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table" w:styleId="TableGrid">
    <w:name w:val="Table Grid"/>
    <w:basedOn w:val="TableNormal"/>
    <w:uiPriority w:val="59"/>
    <w:rsid w:val="005B7D10"/>
    <w:rPr>
      <w:rFonts w:ascii="Arial" w:eastAsia="Calibri" w:hAnsi="Arial" w:cs="Aria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51560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7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37548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9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1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618276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08887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binet.smida.gov.ua/registratio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F8036-BED0-4DF2-9BEA-6F50F644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85996DD3</Template>
  <TotalTime>0</TotalTime>
  <Pages>4</Pages>
  <Words>1327</Words>
  <Characters>8964</Characters>
  <Application>Microsoft Office Word</Application>
  <DocSecurity>0</DocSecurity>
  <Lines>211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PCSOE</Company>
  <LinksUpToDate>false</LinksUpToDate>
  <CharactersWithSpaces>10202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rt19068</dc:creator>
  <cp:keywords>Public</cp:keywords>
  <cp:lastModifiedBy>Alexander Rudakov</cp:lastModifiedBy>
  <cp:revision>7</cp:revision>
  <cp:lastPrinted>2019-04-26T08:30:00Z</cp:lastPrinted>
  <dcterms:created xsi:type="dcterms:W3CDTF">2019-04-26T06:51:00Z</dcterms:created>
  <dcterms:modified xsi:type="dcterms:W3CDTF">2019-04-26T09:14:00Z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18636c22-6323-4bd3-96e9-34f890d54275</vt:lpwstr>
  </property>
  <property fmtid="{D5CDD505-2E9C-101B-9397-08002B2CF9AE}" pid="3" name="aliashDocumentMarking">
    <vt:lpwstr/>
  </property>
  <property fmtid="{D5CDD505-2E9C-101B-9397-08002B2CF9AE}" pid="4" name="db.comClassification">
    <vt:lpwstr>Public</vt:lpwstr>
  </property>
</Properties>
</file>